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ind w:left="1807" w:hanging="1807" w:hangingChars="500"/>
        <w:jc w:val="center"/>
        <w:rPr>
          <w:rFonts w:asciiTheme="minorEastAsia" w:hAnsiTheme="minorEastAsia" w:eastAsiaTheme="minorEastAsia" w:cstheme="minorEastAsia"/>
          <w:b/>
          <w:bCs/>
          <w:snapToGrid w:val="0"/>
          <w:kern w:val="2"/>
          <w:sz w:val="36"/>
          <w:szCs w:val="36"/>
        </w:rPr>
      </w:pPr>
      <w:r>
        <w:rPr>
          <w:rFonts w:hint="eastAsia" w:asciiTheme="minorEastAsia" w:hAnsiTheme="minorEastAsia" w:eastAsiaTheme="minorEastAsia" w:cstheme="minorEastAsia"/>
          <w:b/>
          <w:bCs/>
          <w:snapToGrid w:val="0"/>
          <w:kern w:val="2"/>
          <w:sz w:val="36"/>
          <w:szCs w:val="36"/>
        </w:rPr>
        <w:t>南通市2019年度市级救灾应急物资和装备储备采购项目</w:t>
      </w:r>
    </w:p>
    <w:p>
      <w:pPr>
        <w:pStyle w:val="74"/>
        <w:ind w:firstLine="0"/>
        <w:jc w:val="center"/>
        <w:rPr>
          <w:rFonts w:ascii="方正黑体_GBK" w:eastAsia="方正黑体_GBK"/>
          <w:bCs/>
          <w:sz w:val="32"/>
        </w:rPr>
      </w:pPr>
      <w:bookmarkStart w:id="0" w:name="_Toc120614210"/>
      <w:bookmarkStart w:id="1" w:name="_Toc16938516"/>
      <w:bookmarkStart w:id="2" w:name="_Toc523127445"/>
      <w:bookmarkStart w:id="3" w:name="_Toc513029200"/>
      <w:bookmarkStart w:id="4" w:name="_Toc479757206"/>
      <w:bookmarkStart w:id="5" w:name="_Toc20823272"/>
      <w:r>
        <w:rPr>
          <w:rFonts w:hint="eastAsia" w:ascii="方正魏碑_GBK" w:eastAsia="方正魏碑_GBK"/>
          <w:bCs/>
          <w:sz w:val="84"/>
        </w:rPr>
        <w:t>招 标 文 件</w:t>
      </w:r>
    </w:p>
    <w:p>
      <w:pPr>
        <w:pStyle w:val="74"/>
        <w:spacing w:before="0" w:after="0"/>
        <w:ind w:firstLine="0"/>
        <w:jc w:val="center"/>
        <w:rPr>
          <w:rFonts w:ascii="宋体" w:hAnsi="宋体"/>
        </w:rPr>
      </w:pPr>
      <w:r>
        <w:rPr>
          <w:rFonts w:hint="eastAsia"/>
          <w:b/>
          <w:bCs/>
          <w:sz w:val="32"/>
          <w:szCs w:val="20"/>
          <w:lang w:eastAsia="zh-CN"/>
        </w:rPr>
        <w:t>项目</w:t>
      </w:r>
      <w:bookmarkStart w:id="177" w:name="_GoBack"/>
      <w:bookmarkEnd w:id="177"/>
      <w:r>
        <w:rPr>
          <w:rFonts w:hint="eastAsia"/>
          <w:b/>
          <w:bCs/>
          <w:sz w:val="32"/>
          <w:szCs w:val="20"/>
        </w:rPr>
        <w:t>编号：</w:t>
      </w:r>
      <w:r>
        <w:rPr>
          <w:rFonts w:hint="eastAsia" w:ascii="Arial" w:hAnsi="Arial"/>
          <w:b/>
          <w:bCs/>
          <w:sz w:val="32"/>
          <w:szCs w:val="20"/>
        </w:rPr>
        <w:t>M3206010318000640</w:t>
      </w:r>
    </w:p>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spacing w:before="0" w:after="0"/>
        <w:ind w:firstLine="0"/>
        <w:rPr>
          <w:rFonts w:ascii="宋体" w:hAnsi="宋体"/>
        </w:rPr>
      </w:pPr>
    </w:p>
    <w:p>
      <w:pPr>
        <w:pStyle w:val="74"/>
        <w:ind w:firstLine="0"/>
        <w:jc w:val="center"/>
        <w:rPr>
          <w:b/>
          <w:bCs/>
          <w:sz w:val="32"/>
        </w:rPr>
      </w:pPr>
    </w:p>
    <w:p>
      <w:pPr>
        <w:pStyle w:val="74"/>
        <w:ind w:firstLine="0"/>
        <w:jc w:val="center"/>
        <w:rPr>
          <w:b/>
          <w:bCs/>
          <w:sz w:val="32"/>
        </w:rPr>
      </w:pPr>
    </w:p>
    <w:p>
      <w:pPr>
        <w:pStyle w:val="74"/>
        <w:spacing w:line="520" w:lineRule="exact"/>
        <w:ind w:firstLine="0"/>
        <w:jc w:val="center"/>
        <w:rPr>
          <w:rFonts w:ascii="方正楷体_GBK" w:eastAsia="方正楷体_GBK"/>
          <w:bCs/>
          <w:sz w:val="32"/>
        </w:rPr>
      </w:pPr>
      <w:r>
        <w:rPr>
          <w:rFonts w:hint="eastAsia" w:ascii="方正楷体_GBK" w:eastAsia="方正楷体_GBK"/>
          <w:bCs/>
          <w:sz w:val="32"/>
        </w:rPr>
        <w:t>南通市发展和改革委员会</w:t>
      </w:r>
    </w:p>
    <w:p>
      <w:pPr>
        <w:pStyle w:val="74"/>
        <w:spacing w:line="520" w:lineRule="exact"/>
        <w:ind w:firstLine="0"/>
        <w:jc w:val="center"/>
        <w:rPr>
          <w:rFonts w:ascii="方正楷体_GBK" w:eastAsia="方正楷体_GBK"/>
          <w:bCs/>
          <w:sz w:val="32"/>
        </w:rPr>
      </w:pPr>
      <w:r>
        <w:rPr>
          <w:rFonts w:hint="eastAsia" w:ascii="方正楷体_GBK" w:eastAsia="方正楷体_GBK"/>
          <w:bCs/>
          <w:sz w:val="32"/>
        </w:rPr>
        <w:t>2019年10月08日</w:t>
      </w:r>
    </w:p>
    <w:p/>
    <w:p>
      <w:pPr>
        <w:tabs>
          <w:tab w:val="left" w:pos="900"/>
        </w:tabs>
        <w:spacing w:line="566" w:lineRule="exact"/>
        <w:ind w:firstLine="883" w:firstLineChars="200"/>
        <w:rPr>
          <w:rFonts w:ascii="宋体" w:hAnsi="宋体" w:cs="宋体"/>
          <w:b/>
          <w:bCs/>
          <w:snapToGrid w:val="0"/>
          <w:sz w:val="44"/>
          <w:szCs w:val="44"/>
        </w:rPr>
      </w:pPr>
    </w:p>
    <w:p>
      <w:pPr>
        <w:tabs>
          <w:tab w:val="left" w:pos="900"/>
        </w:tabs>
        <w:spacing w:line="566" w:lineRule="exact"/>
        <w:ind w:firstLine="883" w:firstLineChars="200"/>
        <w:rPr>
          <w:rFonts w:ascii="宋体" w:hAnsi="宋体" w:cs="宋体"/>
          <w:b/>
          <w:bCs/>
          <w:snapToGrid w:val="0"/>
          <w:sz w:val="44"/>
          <w:szCs w:val="44"/>
        </w:rPr>
      </w:pPr>
    </w:p>
    <w:p>
      <w:pPr>
        <w:rPr>
          <w:rFonts w:ascii="宋体" w:hAnsi="宋体" w:cs="宋体"/>
          <w:b/>
          <w:sz w:val="44"/>
          <w:szCs w:val="44"/>
        </w:rPr>
      </w:pPr>
      <w:r>
        <w:rPr>
          <w:rFonts w:hint="eastAsia" w:ascii="宋体" w:hAnsi="宋体" w:cs="宋体"/>
          <w:b/>
          <w:sz w:val="44"/>
          <w:szCs w:val="44"/>
        </w:rPr>
        <w:br w:type="page"/>
      </w:r>
    </w:p>
    <w:p>
      <w:pPr>
        <w:pStyle w:val="3"/>
        <w:rPr>
          <w:rFonts w:ascii="宋体" w:hAnsi="宋体" w:eastAsia="宋体" w:cs="宋体"/>
          <w:sz w:val="44"/>
          <w:szCs w:val="44"/>
        </w:rPr>
      </w:pPr>
      <w:r>
        <w:rPr>
          <w:rFonts w:hint="eastAsia" w:ascii="宋体" w:hAnsi="宋体" w:eastAsia="宋体" w:cs="宋体"/>
          <w:sz w:val="44"/>
          <w:szCs w:val="44"/>
        </w:rPr>
        <w:t>招标文件备案表</w:t>
      </w:r>
    </w:p>
    <w:p>
      <w:pPr>
        <w:jc w:val="center"/>
        <w:rPr>
          <w:rFonts w:ascii="宋体" w:hAnsi="宋体" w:cs="宋体"/>
          <w:b/>
          <w:sz w:val="44"/>
          <w:szCs w:val="44"/>
        </w:rPr>
      </w:pPr>
    </w:p>
    <w:tbl>
      <w:tblPr>
        <w:tblStyle w:val="3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8" w:hRule="atLeast"/>
          <w:jc w:val="center"/>
        </w:trPr>
        <w:tc>
          <w:tcPr>
            <w:tcW w:w="9180" w:type="dxa"/>
          </w:tcPr>
          <w:p>
            <w:pPr>
              <w:spacing w:line="360" w:lineRule="auto"/>
              <w:jc w:val="center"/>
              <w:rPr>
                <w:rFonts w:ascii="宋体" w:hAnsi="宋体" w:cs="宋体"/>
                <w:position w:val="-48"/>
                <w:sz w:val="25"/>
              </w:rPr>
            </w:pPr>
          </w:p>
          <w:p>
            <w:pPr>
              <w:spacing w:line="360" w:lineRule="auto"/>
              <w:jc w:val="center"/>
              <w:rPr>
                <w:rFonts w:ascii="宋体" w:hAnsi="宋体" w:cs="宋体"/>
                <w:position w:val="-48"/>
                <w:sz w:val="25"/>
              </w:rPr>
            </w:pPr>
          </w:p>
          <w:p>
            <w:pPr>
              <w:spacing w:line="360" w:lineRule="auto"/>
              <w:ind w:firstLine="3000" w:firstLineChars="1200"/>
              <w:rPr>
                <w:rFonts w:ascii="宋体" w:hAnsi="宋体" w:cs="宋体"/>
                <w:position w:val="-48"/>
                <w:sz w:val="25"/>
              </w:rPr>
            </w:pPr>
            <w:r>
              <w:rPr>
                <w:rFonts w:hint="eastAsia" w:ascii="宋体" w:hAnsi="宋体" w:cs="宋体"/>
                <w:position w:val="-48"/>
                <w:sz w:val="25"/>
              </w:rPr>
              <w:t>编制人：</w:t>
            </w:r>
          </w:p>
          <w:p>
            <w:pPr>
              <w:tabs>
                <w:tab w:val="left" w:pos="3492"/>
              </w:tabs>
              <w:spacing w:line="360" w:lineRule="auto"/>
              <w:ind w:firstLine="3000" w:firstLineChars="1200"/>
              <w:rPr>
                <w:rFonts w:ascii="宋体" w:hAnsi="宋体" w:cs="宋体"/>
                <w:position w:val="-48"/>
                <w:sz w:val="25"/>
              </w:rPr>
            </w:pPr>
            <w:r>
              <w:rPr>
                <w:rFonts w:hint="eastAsia" w:ascii="宋体" w:hAnsi="宋体" w:cs="宋体"/>
                <w:position w:val="-48"/>
                <w:sz w:val="25"/>
              </w:rPr>
              <w:t>日  期：2019年10月08日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5" w:hRule="atLeast"/>
          <w:jc w:val="center"/>
        </w:trPr>
        <w:tc>
          <w:tcPr>
            <w:tcW w:w="9180" w:type="dxa"/>
          </w:tcPr>
          <w:p>
            <w:pPr>
              <w:spacing w:line="360" w:lineRule="auto"/>
              <w:rPr>
                <w:rFonts w:ascii="宋体" w:hAnsi="宋体" w:cs="宋体"/>
                <w:position w:val="-48"/>
                <w:sz w:val="25"/>
              </w:rPr>
            </w:pPr>
          </w:p>
          <w:p>
            <w:pPr>
              <w:spacing w:line="360" w:lineRule="auto"/>
              <w:ind w:firstLine="625" w:firstLineChars="250"/>
              <w:jc w:val="center"/>
              <w:rPr>
                <w:rFonts w:ascii="宋体" w:hAnsi="宋体" w:cs="宋体"/>
                <w:position w:val="-48"/>
                <w:sz w:val="25"/>
              </w:rPr>
            </w:pPr>
          </w:p>
          <w:p>
            <w:pPr>
              <w:spacing w:line="360" w:lineRule="auto"/>
              <w:ind w:firstLine="625" w:firstLineChars="250"/>
              <w:jc w:val="center"/>
              <w:rPr>
                <w:rFonts w:ascii="宋体" w:hAnsi="宋体" w:cs="宋体"/>
                <w:position w:val="-48"/>
                <w:sz w:val="25"/>
              </w:rPr>
            </w:pPr>
          </w:p>
          <w:p>
            <w:pPr>
              <w:spacing w:line="360" w:lineRule="auto"/>
              <w:rPr>
                <w:rFonts w:ascii="宋体" w:hAnsi="宋体" w:cs="宋体"/>
                <w:position w:val="-48"/>
                <w:sz w:val="25"/>
              </w:rPr>
            </w:pPr>
            <w:r>
              <w:rPr>
                <w:rFonts w:hint="eastAsia" w:ascii="宋体" w:hAnsi="宋体" w:cs="宋体"/>
                <w:position w:val="-48"/>
                <w:sz w:val="25"/>
              </w:rPr>
              <w:t>采购单位（盖章）             法定代表人（委托代理人）（签字或盖章）</w:t>
            </w:r>
          </w:p>
          <w:p>
            <w:pPr>
              <w:spacing w:line="360" w:lineRule="auto"/>
              <w:rPr>
                <w:rFonts w:ascii="宋体" w:hAnsi="宋体" w:cs="宋体"/>
                <w:position w:val="-48"/>
                <w:sz w:val="25"/>
              </w:rPr>
            </w:pPr>
          </w:p>
          <w:p>
            <w:pPr>
              <w:spacing w:line="360" w:lineRule="auto"/>
              <w:ind w:firstLine="500" w:firstLineChars="200"/>
              <w:rPr>
                <w:rFonts w:ascii="宋体" w:hAnsi="宋体" w:cs="宋体"/>
                <w:position w:val="-48"/>
                <w:sz w:val="25"/>
              </w:rPr>
            </w:pPr>
            <w:r>
              <w:rPr>
                <w:rFonts w:hint="eastAsia" w:ascii="宋体" w:hAnsi="宋体" w:cs="宋体"/>
                <w:position w:val="-48"/>
                <w:sz w:val="25"/>
              </w:rPr>
              <w:t>代理机构（盖章）              法定代表人（签字或盖章）</w:t>
            </w:r>
          </w:p>
          <w:p>
            <w:pPr>
              <w:spacing w:line="360" w:lineRule="auto"/>
              <w:rPr>
                <w:rFonts w:ascii="宋体" w:hAnsi="宋体" w:cs="宋体"/>
                <w:position w:val="-48"/>
                <w:sz w:val="25"/>
              </w:rPr>
            </w:pPr>
          </w:p>
          <w:p>
            <w:pPr>
              <w:spacing w:line="360" w:lineRule="auto"/>
              <w:jc w:val="center"/>
              <w:rPr>
                <w:rFonts w:ascii="宋体" w:hAnsi="宋体" w:cs="宋体"/>
                <w:position w:val="-48"/>
                <w:sz w:val="25"/>
              </w:rPr>
            </w:pPr>
            <w:r>
              <w:rPr>
                <w:rFonts w:hint="eastAsia" w:ascii="宋体" w:hAnsi="宋体" w:cs="宋体"/>
                <w:position w:val="-48"/>
                <w:sz w:val="25"/>
              </w:rPr>
              <w:t>日  期：2019年10月08日</w:t>
            </w:r>
          </w:p>
        </w:tc>
      </w:tr>
    </w:tbl>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pStyle w:val="3"/>
        <w:rPr>
          <w:rFonts w:ascii="宋体" w:hAnsi="宋体" w:eastAsia="宋体" w:cs="宋体"/>
          <w:sz w:val="44"/>
          <w:szCs w:val="44"/>
        </w:rPr>
      </w:pPr>
      <w:r>
        <w:rPr>
          <w:rFonts w:hint="eastAsia" w:ascii="宋体" w:hAnsi="宋体" w:eastAsia="宋体" w:cs="宋体"/>
          <w:sz w:val="44"/>
          <w:szCs w:val="44"/>
        </w:rPr>
        <w:t>第一章  招标公告</w:t>
      </w:r>
    </w:p>
    <w:bookmarkEnd w:id="0"/>
    <w:p>
      <w:pPr>
        <w:tabs>
          <w:tab w:val="left" w:pos="900"/>
        </w:tabs>
        <w:spacing w:line="566" w:lineRule="exact"/>
        <w:ind w:firstLine="560" w:firstLineChars="200"/>
        <w:rPr>
          <w:rFonts w:ascii="仿宋" w:hAnsi="仿宋" w:eastAsia="仿宋"/>
          <w:snapToGrid w:val="0"/>
          <w:sz w:val="28"/>
          <w:szCs w:val="28"/>
        </w:rPr>
      </w:pPr>
      <w:bookmarkStart w:id="6" w:name="_Toc120614211"/>
      <w:r>
        <w:rPr>
          <w:rFonts w:hint="eastAsia" w:ascii="仿宋" w:hAnsi="仿宋" w:eastAsia="仿宋"/>
          <w:snapToGrid w:val="0"/>
          <w:sz w:val="28"/>
          <w:szCs w:val="28"/>
        </w:rPr>
        <w:t>江苏宏信工程咨询有限公司（以下简称“招标代理机构”）受_</w:t>
      </w:r>
      <w:r>
        <w:rPr>
          <w:rFonts w:hint="eastAsia" w:ascii="仿宋" w:hAnsi="仿宋" w:eastAsia="仿宋"/>
          <w:snapToGrid w:val="0"/>
          <w:sz w:val="28"/>
          <w:szCs w:val="28"/>
          <w:u w:val="single"/>
        </w:rPr>
        <w:t>南通市发展和改革委员会</w:t>
      </w:r>
      <w:r>
        <w:rPr>
          <w:rFonts w:hint="eastAsia" w:ascii="仿宋" w:hAnsi="仿宋" w:eastAsia="仿宋"/>
          <w:snapToGrid w:val="0"/>
          <w:sz w:val="28"/>
          <w:szCs w:val="28"/>
        </w:rPr>
        <w:t>的委托，对其所需的</w:t>
      </w:r>
      <w:r>
        <w:rPr>
          <w:rFonts w:hint="eastAsia" w:ascii="仿宋" w:hAnsi="仿宋" w:eastAsia="仿宋"/>
          <w:snapToGrid w:val="0"/>
          <w:sz w:val="28"/>
          <w:szCs w:val="28"/>
          <w:u w:val="single"/>
        </w:rPr>
        <w:t>南通市2019年度市级救灾应急物资和装备储备采购项目</w:t>
      </w:r>
      <w:r>
        <w:rPr>
          <w:rFonts w:hint="eastAsia" w:ascii="仿宋" w:hAnsi="仿宋" w:eastAsia="仿宋"/>
          <w:snapToGrid w:val="0"/>
          <w:sz w:val="28"/>
          <w:szCs w:val="28"/>
        </w:rPr>
        <w:t>进行公开招标采购，欢迎具备条件的国内投标供应商参加投标。</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 xml:space="preserve">一、项目名称及内容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1、项目编号：M3206010318000640</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2、项目名称：南通市2019年度市级救灾应急物资和装备储备采购项目。</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3、项目单位：南通市发展和改革委员会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4、资金来源：财政资金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5、项目预算：242.5 万元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6、最高限价：242.5 万元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7、标段（包别）划分：一个标段</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二、招标项目的采购需求：</w:t>
      </w:r>
      <w:r>
        <w:rPr>
          <w:rFonts w:hint="eastAsia" w:ascii="仿宋" w:hAnsi="仿宋" w:eastAsia="仿宋"/>
          <w:snapToGrid w:val="0"/>
          <w:sz w:val="28"/>
          <w:szCs w:val="28"/>
        </w:rPr>
        <w:t>详见招标文件第四章内容。</w:t>
      </w:r>
    </w:p>
    <w:p>
      <w:pPr>
        <w:tabs>
          <w:tab w:val="left" w:pos="900"/>
        </w:tabs>
        <w:spacing w:line="566" w:lineRule="exact"/>
        <w:ind w:firstLine="562" w:firstLineChars="200"/>
        <w:rPr>
          <w:rFonts w:ascii="仿宋" w:hAnsi="仿宋" w:eastAsia="仿宋"/>
          <w:snapToGrid w:val="0"/>
          <w:sz w:val="28"/>
          <w:szCs w:val="28"/>
        </w:rPr>
      </w:pPr>
      <w:r>
        <w:rPr>
          <w:rFonts w:hint="eastAsia" w:ascii="仿宋" w:hAnsi="仿宋" w:eastAsia="仿宋"/>
          <w:b/>
          <w:bCs/>
          <w:snapToGrid w:val="0"/>
          <w:sz w:val="28"/>
          <w:szCs w:val="28"/>
        </w:rPr>
        <w:t>三、评标方法与评标标准：</w:t>
      </w:r>
      <w:r>
        <w:rPr>
          <w:rFonts w:hint="eastAsia" w:ascii="仿宋" w:hAnsi="仿宋" w:eastAsia="仿宋"/>
          <w:snapToGrid w:val="0"/>
          <w:sz w:val="28"/>
          <w:szCs w:val="28"/>
        </w:rPr>
        <w:t>详见招标文件第五章内容。</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四、供应商资格要求</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1、符合《中华人民共和国政府采购法》第二十二条规定；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2、本项目不接受联合体投标；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3、供应商存在以下不良信用记录情形之一的，不得推荐为中标候选供应商，不得确定为中标供应商：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(1）供应商被人民法院列入失信被执行人的；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(2）供应商或其法定代表人或拟派项目经理（项目负责人）被人民检察院列入行贿犯罪档案的；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(3）供应商被工商行政管理部门列入企业经营异常名录的；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(4）供应商被税务部门列入重大税收违法案件当事人名单的；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(5）供应商被政府采购监管部门列入政府采购严重违法失信行为记录名单的。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4、具有独立法人资格，具有有效的营业执照（营业执照经营范围须包含本项目所涉及主要物资的合法经营、销售资格）。</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5、投标供应商必须是在中国境内依法注册、具有独立法人资格的合法企业。</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五、报名及招标文件发售办法</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1、招标文件发售时间：2019年10月8日09 时至 2019 年 10 月 18 日14 时。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2、报名方式：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凡有意参加的供应商，可在南通市公共资源交易网 (http://ggzyjy.nantong.gov.cn)网站下载招标文件。 </w:t>
      </w:r>
    </w:p>
    <w:p>
      <w:pPr>
        <w:tabs>
          <w:tab w:val="left" w:pos="900"/>
        </w:tabs>
        <w:spacing w:line="566" w:lineRule="exact"/>
        <w:ind w:firstLine="562" w:firstLineChars="200"/>
        <w:rPr>
          <w:rFonts w:ascii="仿宋" w:hAnsi="仿宋" w:eastAsia="仿宋"/>
          <w:snapToGrid w:val="0"/>
          <w:sz w:val="28"/>
          <w:szCs w:val="28"/>
        </w:rPr>
      </w:pPr>
      <w:r>
        <w:rPr>
          <w:rFonts w:hint="eastAsia" w:ascii="仿宋" w:hAnsi="仿宋" w:eastAsia="仿宋"/>
          <w:b/>
          <w:bCs/>
          <w:snapToGrid w:val="0"/>
          <w:sz w:val="28"/>
          <w:szCs w:val="28"/>
        </w:rPr>
        <w:t xml:space="preserve">六、投标文件递交时间、截止时间及地点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1、纸质投标文件递交时间：2019年10月18 日14:00 </w:t>
      </w:r>
      <w:r>
        <w:rPr>
          <w:rFonts w:hint="eastAsia" w:ascii="仿宋" w:hAnsi="仿宋" w:eastAsia="仿宋"/>
          <w:snapToGrid w:val="0"/>
          <w:sz w:val="28"/>
          <w:szCs w:val="28"/>
          <w:lang w:eastAsia="zh-CN"/>
        </w:rPr>
        <w:t>至</w:t>
      </w:r>
      <w:r>
        <w:rPr>
          <w:rFonts w:hint="eastAsia" w:ascii="仿宋" w:hAnsi="仿宋" w:eastAsia="仿宋"/>
          <w:snapToGrid w:val="0"/>
          <w:sz w:val="28"/>
          <w:szCs w:val="28"/>
          <w:lang w:val="en-US" w:eastAsia="zh-CN"/>
        </w:rPr>
        <w:t>14:30</w:t>
      </w:r>
      <w:r>
        <w:rPr>
          <w:rFonts w:hint="eastAsia" w:ascii="仿宋" w:hAnsi="仿宋" w:eastAsia="仿宋"/>
          <w:snapToGrid w:val="0"/>
          <w:sz w:val="28"/>
          <w:szCs w:val="28"/>
        </w:rPr>
        <w:t>时前，拒绝接收在截止时间后递交的投标响应文件。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2、纸质投标文件递交地点：南通市行政中心403室（崇川区世纪大道6号）。 </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 xml:space="preserve">七、开标时间及地址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1、开标时间：2019年10月18日14:</w:t>
      </w:r>
      <w:r>
        <w:rPr>
          <w:rFonts w:hint="eastAsia" w:ascii="仿宋" w:hAnsi="仿宋" w:eastAsia="仿宋"/>
          <w:snapToGrid w:val="0"/>
          <w:sz w:val="28"/>
          <w:szCs w:val="28"/>
          <w:lang w:val="en-US" w:eastAsia="zh-CN"/>
        </w:rPr>
        <w:t>3</w:t>
      </w:r>
      <w:r>
        <w:rPr>
          <w:rFonts w:hint="eastAsia" w:ascii="仿宋" w:hAnsi="仿宋" w:eastAsia="仿宋"/>
          <w:snapToGrid w:val="0"/>
          <w:sz w:val="28"/>
          <w:szCs w:val="28"/>
        </w:rPr>
        <w:t>0时，拒绝接收在截止时间后递交的投标响应文件。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2、地点：南通市行政中心403室（崇川区世纪大道6号）。</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八、本次招标联系事项</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采购单位：南通市发展和改革委员会</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联系人：杨捷 ；联系电话：0513-85099368，13921600878</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代理机构：江苏宏信工程咨询有限公司</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联系人：时工   联系电话：18762750508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邮箱：</w:t>
      </w:r>
      <w:r>
        <w:fldChar w:fldCharType="begin"/>
      </w:r>
      <w:r>
        <w:instrText xml:space="preserve"> HYPERLINK "mailto:279366603@qq.com" </w:instrText>
      </w:r>
      <w:r>
        <w:fldChar w:fldCharType="separate"/>
      </w:r>
      <w:r>
        <w:rPr>
          <w:rFonts w:hint="eastAsia" w:ascii="仿宋" w:hAnsi="仿宋" w:eastAsia="仿宋"/>
          <w:snapToGrid w:val="0"/>
          <w:sz w:val="28"/>
          <w:szCs w:val="28"/>
        </w:rPr>
        <w:t>1032398812@qq.com</w:t>
      </w:r>
      <w:r>
        <w:rPr>
          <w:rFonts w:hint="eastAsia" w:ascii="仿宋" w:hAnsi="仿宋" w:eastAsia="仿宋"/>
          <w:snapToGrid w:val="0"/>
          <w:sz w:val="28"/>
          <w:szCs w:val="28"/>
        </w:rPr>
        <w:fldChar w:fldCharType="end"/>
      </w:r>
    </w:p>
    <w:p>
      <w:pPr>
        <w:spacing w:line="566" w:lineRule="exact"/>
        <w:ind w:firstLine="640" w:firstLineChars="200"/>
        <w:rPr>
          <w:rFonts w:ascii="Times New Roman" w:hAnsi="Times New Roman" w:eastAsia="方正仿宋_GBK"/>
          <w:b/>
          <w:sz w:val="32"/>
          <w:szCs w:val="32"/>
        </w:rPr>
      </w:pPr>
      <w:r>
        <w:rPr>
          <w:rFonts w:ascii="Times New Roman" w:hAnsi="Times New Roman" w:eastAsia="方正仿宋_GBK"/>
          <w:b/>
          <w:sz w:val="32"/>
          <w:szCs w:val="32"/>
        </w:rPr>
        <w:t>对</w:t>
      </w:r>
      <w:r>
        <w:rPr>
          <w:rFonts w:ascii="Times New Roman" w:hAnsi="Times New Roman" w:eastAsia="方正仿宋_GBK"/>
          <w:b/>
          <w:kern w:val="0"/>
          <w:sz w:val="32"/>
          <w:szCs w:val="32"/>
        </w:rPr>
        <w:t>其他资格要求、项目需求、评分标准</w:t>
      </w:r>
      <w:r>
        <w:rPr>
          <w:rFonts w:ascii="Times New Roman" w:hAnsi="Times New Roman" w:eastAsia="方正仿宋_GBK"/>
          <w:b/>
          <w:sz w:val="32"/>
          <w:szCs w:val="32"/>
        </w:rPr>
        <w:t>的询问、质疑请向采购人提出，询问、质疑由采购人负责答复。</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九、投标文件制作份数要求：</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正本份数：1份   副本份数：</w:t>
      </w:r>
      <w:r>
        <w:rPr>
          <w:rFonts w:hint="eastAsia" w:ascii="仿宋" w:hAnsi="仿宋" w:eastAsia="仿宋"/>
          <w:snapToGrid w:val="0"/>
          <w:sz w:val="28"/>
          <w:szCs w:val="28"/>
          <w:lang w:val="en-US" w:eastAsia="zh-CN"/>
        </w:rPr>
        <w:t>2</w:t>
      </w:r>
      <w:r>
        <w:rPr>
          <w:rFonts w:hint="eastAsia" w:ascii="仿宋" w:hAnsi="仿宋" w:eastAsia="仿宋"/>
          <w:snapToGrid w:val="0"/>
          <w:sz w:val="28"/>
          <w:szCs w:val="28"/>
        </w:rPr>
        <w:t>份</w:t>
      </w:r>
    </w:p>
    <w:p>
      <w:pPr>
        <w:tabs>
          <w:tab w:val="left" w:pos="900"/>
        </w:tabs>
        <w:spacing w:line="566" w:lineRule="exact"/>
        <w:ind w:firstLine="562" w:firstLineChars="200"/>
        <w:rPr>
          <w:rFonts w:ascii="仿宋" w:hAnsi="仿宋" w:eastAsia="仿宋"/>
          <w:snapToGrid w:val="0"/>
          <w:sz w:val="28"/>
          <w:szCs w:val="28"/>
        </w:rPr>
      </w:pPr>
      <w:r>
        <w:rPr>
          <w:rFonts w:hint="eastAsia" w:ascii="仿宋" w:hAnsi="仿宋" w:eastAsia="仿宋"/>
          <w:b/>
          <w:bCs/>
          <w:snapToGrid w:val="0"/>
          <w:sz w:val="28"/>
          <w:szCs w:val="28"/>
        </w:rPr>
        <w:t>十、本次招标投标保证金</w:t>
      </w:r>
    </w:p>
    <w:p>
      <w:pPr>
        <w:pStyle w:val="12"/>
        <w:ind w:firstLine="560" w:firstLineChars="200"/>
        <w:rPr>
          <w:rFonts w:ascii="仿宋" w:hAnsi="仿宋" w:eastAsia="仿宋"/>
          <w:snapToGrid w:val="0"/>
        </w:rPr>
      </w:pPr>
      <w:r>
        <w:rPr>
          <w:rFonts w:hint="eastAsia" w:ascii="仿宋" w:hAnsi="仿宋" w:eastAsia="仿宋"/>
          <w:snapToGrid w:val="0"/>
        </w:rPr>
        <w:t>供应商需缴纳投标保证金伍万元整（50000元）。</w:t>
      </w:r>
    </w:p>
    <w:p>
      <w:pPr>
        <w:pStyle w:val="12"/>
        <w:ind w:firstLine="560" w:firstLineChars="200"/>
        <w:rPr>
          <w:rFonts w:ascii="仿宋" w:hAnsi="仿宋" w:eastAsia="仿宋"/>
          <w:snapToGrid w:val="0"/>
        </w:rPr>
      </w:pPr>
      <w:r>
        <w:rPr>
          <w:rFonts w:hint="eastAsia" w:ascii="仿宋" w:hAnsi="仿宋" w:eastAsia="仿宋"/>
          <w:snapToGrid w:val="0"/>
        </w:rPr>
        <w:t>投标人交纳的投标保证金仅限银行汇票的形式（其他形式概不接收），银行汇票需备注投标保证金带至开标现场，在递交投标文件时交给采购代理机构。保证金账户信息如下：</w:t>
      </w:r>
    </w:p>
    <w:p>
      <w:pPr>
        <w:pStyle w:val="12"/>
        <w:ind w:firstLine="560" w:firstLineChars="200"/>
        <w:rPr>
          <w:rFonts w:ascii="仿宋" w:hAnsi="仿宋" w:eastAsia="仿宋"/>
          <w:snapToGrid w:val="0"/>
        </w:rPr>
      </w:pPr>
      <w:r>
        <w:rPr>
          <w:rFonts w:hint="eastAsia" w:ascii="仿宋" w:hAnsi="仿宋" w:eastAsia="仿宋"/>
          <w:snapToGrid w:val="0"/>
        </w:rPr>
        <w:t>收款单位：江苏宏信工程咨询有限公司南通分公司</w:t>
      </w:r>
    </w:p>
    <w:p>
      <w:pPr>
        <w:pStyle w:val="12"/>
        <w:ind w:firstLine="560" w:firstLineChars="200"/>
        <w:rPr>
          <w:rFonts w:ascii="仿宋" w:hAnsi="仿宋" w:eastAsia="仿宋"/>
          <w:snapToGrid w:val="0"/>
        </w:rPr>
      </w:pPr>
      <w:r>
        <w:rPr>
          <w:rFonts w:hint="eastAsia" w:ascii="仿宋" w:hAnsi="仿宋" w:eastAsia="仿宋"/>
          <w:snapToGrid w:val="0"/>
        </w:rPr>
        <w:t xml:space="preserve">银行账号：1111822409000805527 </w:t>
      </w:r>
    </w:p>
    <w:p>
      <w:pPr>
        <w:pStyle w:val="12"/>
        <w:ind w:firstLine="560" w:firstLineChars="200"/>
        <w:rPr>
          <w:rFonts w:ascii="仿宋" w:hAnsi="仿宋" w:eastAsia="仿宋"/>
          <w:snapToGrid w:val="0"/>
        </w:rPr>
      </w:pPr>
      <w:r>
        <w:rPr>
          <w:rFonts w:hint="eastAsia" w:ascii="仿宋" w:hAnsi="仿宋" w:eastAsia="仿宋"/>
          <w:snapToGrid w:val="0"/>
        </w:rPr>
        <w:t>开户银行：中国工商银行股份有限公司南通中南世纪城支行</w:t>
      </w:r>
    </w:p>
    <w:p>
      <w:pPr>
        <w:pStyle w:val="12"/>
      </w:pPr>
      <w:r>
        <w:rPr>
          <w:rFonts w:hint="eastAsia" w:ascii="仿宋" w:hAnsi="仿宋" w:eastAsia="仿宋"/>
          <w:snapToGrid w:val="0"/>
        </w:rPr>
        <w:t>投标保证金不得密封在投标响应文件内，未按上述要求提交投标保证金的供应商，采购单位有权拒绝其投标响应文件。</w:t>
      </w:r>
    </w:p>
    <w:p>
      <w:pPr>
        <w:tabs>
          <w:tab w:val="left" w:pos="900"/>
        </w:tabs>
        <w:spacing w:line="566" w:lineRule="exact"/>
        <w:ind w:firstLine="420" w:firstLineChars="200"/>
        <w:rPr>
          <w:rFonts w:ascii="黑体" w:eastAsia="黑体"/>
        </w:rPr>
      </w:pPr>
    </w:p>
    <w:p/>
    <w:p/>
    <w:p>
      <w:pPr>
        <w:rPr>
          <w:rFonts w:ascii="宋体" w:hAnsi="宋体" w:cs="宋体"/>
          <w:b/>
          <w:bCs/>
          <w:snapToGrid w:val="0"/>
          <w:sz w:val="44"/>
          <w:szCs w:val="44"/>
        </w:rPr>
      </w:pPr>
      <w:r>
        <w:rPr>
          <w:rFonts w:hint="eastAsia" w:ascii="宋体" w:hAnsi="宋体" w:cs="宋体"/>
          <w:b/>
          <w:bCs/>
          <w:snapToGrid w:val="0"/>
          <w:sz w:val="44"/>
          <w:szCs w:val="44"/>
        </w:rPr>
        <w:br w:type="page"/>
      </w:r>
    </w:p>
    <w:p>
      <w:pPr>
        <w:pStyle w:val="3"/>
        <w:rPr>
          <w:rFonts w:ascii="宋体" w:hAnsi="宋体" w:eastAsia="宋体" w:cs="宋体"/>
          <w:sz w:val="44"/>
          <w:szCs w:val="44"/>
        </w:rPr>
      </w:pPr>
      <w:r>
        <w:rPr>
          <w:rFonts w:hint="eastAsia" w:ascii="宋体" w:hAnsi="宋体" w:eastAsia="宋体" w:cs="宋体"/>
          <w:sz w:val="44"/>
          <w:szCs w:val="44"/>
        </w:rPr>
        <w:t xml:space="preserve">第二章  </w:t>
      </w:r>
      <w:bookmarkEnd w:id="1"/>
      <w:bookmarkEnd w:id="2"/>
      <w:bookmarkEnd w:id="3"/>
      <w:bookmarkEnd w:id="4"/>
      <w:bookmarkEnd w:id="5"/>
      <w:bookmarkEnd w:id="6"/>
      <w:bookmarkStart w:id="7" w:name="_Toc20823274"/>
      <w:bookmarkStart w:id="8" w:name="_Toc513029202"/>
      <w:bookmarkStart w:id="9" w:name="_Toc16938518"/>
      <w:bookmarkStart w:id="10" w:name="_Toc120614213"/>
      <w:r>
        <w:rPr>
          <w:rFonts w:hint="eastAsia" w:ascii="宋体" w:hAnsi="宋体" w:eastAsia="宋体" w:cs="宋体"/>
          <w:sz w:val="44"/>
          <w:szCs w:val="44"/>
        </w:rPr>
        <w:t>投标人须知</w:t>
      </w:r>
      <w:bookmarkEnd w:id="7"/>
      <w:bookmarkEnd w:id="8"/>
      <w:bookmarkEnd w:id="9"/>
      <w:bookmarkEnd w:id="10"/>
    </w:p>
    <w:p>
      <w:pPr>
        <w:tabs>
          <w:tab w:val="left" w:pos="900"/>
        </w:tabs>
        <w:spacing w:line="566" w:lineRule="exact"/>
        <w:ind w:firstLine="560" w:firstLineChars="200"/>
        <w:rPr>
          <w:rFonts w:ascii="仿宋" w:hAnsi="仿宋" w:eastAsia="仿宋"/>
          <w:snapToGrid w:val="0"/>
          <w:sz w:val="28"/>
          <w:szCs w:val="28"/>
        </w:rPr>
      </w:pPr>
      <w:bookmarkStart w:id="11" w:name="_Toc20823275"/>
      <w:bookmarkStart w:id="12" w:name="_Toc16938519"/>
      <w:bookmarkStart w:id="13" w:name="_Toc513029203"/>
      <w:bookmarkStart w:id="14" w:name="_Toc120614214"/>
      <w:r>
        <w:rPr>
          <w:rFonts w:hint="eastAsia" w:ascii="仿宋" w:hAnsi="仿宋" w:eastAsia="仿宋"/>
          <w:snapToGrid w:val="0"/>
          <w:sz w:val="28"/>
          <w:szCs w:val="28"/>
        </w:rPr>
        <w:t>一、总则</w:t>
      </w:r>
      <w:bookmarkEnd w:id="11"/>
      <w:bookmarkEnd w:id="12"/>
      <w:bookmarkEnd w:id="13"/>
      <w:bookmarkEnd w:id="14"/>
    </w:p>
    <w:p>
      <w:pPr>
        <w:tabs>
          <w:tab w:val="left" w:pos="900"/>
        </w:tabs>
        <w:spacing w:line="566" w:lineRule="exact"/>
        <w:ind w:firstLine="560" w:firstLineChars="200"/>
        <w:rPr>
          <w:rFonts w:ascii="仿宋" w:hAnsi="仿宋" w:eastAsia="仿宋"/>
          <w:snapToGrid w:val="0"/>
          <w:sz w:val="28"/>
          <w:szCs w:val="28"/>
        </w:rPr>
      </w:pPr>
      <w:bookmarkStart w:id="15" w:name="_Hlt16619475"/>
      <w:bookmarkEnd w:id="15"/>
      <w:bookmarkStart w:id="16" w:name="_Toc458694821"/>
      <w:bookmarkStart w:id="17" w:name="_Toc20823276"/>
      <w:bookmarkStart w:id="18" w:name="_Toc513029204"/>
      <w:bookmarkStart w:id="19" w:name="_Toc16938520"/>
      <w:r>
        <w:rPr>
          <w:rFonts w:hint="eastAsia" w:ascii="仿宋" w:hAnsi="仿宋" w:eastAsia="仿宋"/>
          <w:snapToGrid w:val="0"/>
          <w:sz w:val="28"/>
          <w:szCs w:val="28"/>
        </w:rPr>
        <w:t>1</w:t>
      </w:r>
      <w:bookmarkEnd w:id="16"/>
      <w:r>
        <w:rPr>
          <w:rFonts w:hint="eastAsia" w:ascii="仿宋" w:hAnsi="仿宋" w:eastAsia="仿宋"/>
          <w:snapToGrid w:val="0"/>
          <w:sz w:val="28"/>
          <w:szCs w:val="28"/>
        </w:rPr>
        <w:t>、招标方式</w:t>
      </w:r>
      <w:bookmarkEnd w:id="17"/>
      <w:bookmarkEnd w:id="18"/>
      <w:bookmarkEnd w:id="19"/>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1.1 本次招标采取公开招标方式，本招标文件仅适用于招标公告中所述项目。</w:t>
      </w:r>
    </w:p>
    <w:p>
      <w:pPr>
        <w:tabs>
          <w:tab w:val="left" w:pos="900"/>
        </w:tabs>
        <w:spacing w:line="566" w:lineRule="exact"/>
        <w:ind w:firstLine="560" w:firstLineChars="200"/>
        <w:rPr>
          <w:rFonts w:ascii="仿宋" w:hAnsi="仿宋" w:eastAsia="仿宋"/>
          <w:snapToGrid w:val="0"/>
          <w:sz w:val="28"/>
          <w:szCs w:val="28"/>
        </w:rPr>
      </w:pPr>
      <w:bookmarkStart w:id="20" w:name="_Toc20823277"/>
      <w:bookmarkStart w:id="21" w:name="_Toc513029205"/>
      <w:bookmarkStart w:id="22" w:name="_Toc16938521"/>
      <w:r>
        <w:rPr>
          <w:rFonts w:hint="eastAsia" w:ascii="仿宋" w:hAnsi="仿宋" w:eastAsia="仿宋"/>
          <w:snapToGrid w:val="0"/>
          <w:sz w:val="28"/>
          <w:szCs w:val="28"/>
        </w:rPr>
        <w:t>2、合格的投标人</w:t>
      </w:r>
      <w:bookmarkEnd w:id="20"/>
      <w:bookmarkEnd w:id="21"/>
      <w:bookmarkEnd w:id="22"/>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2.1满足招标公告中供应商的资格要求的规定。</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2.2 满足本文件实质性条款的规定。</w:t>
      </w:r>
    </w:p>
    <w:p>
      <w:pPr>
        <w:tabs>
          <w:tab w:val="left" w:pos="900"/>
        </w:tabs>
        <w:spacing w:line="566" w:lineRule="exact"/>
        <w:ind w:firstLine="560" w:firstLineChars="200"/>
        <w:rPr>
          <w:rFonts w:ascii="仿宋" w:hAnsi="仿宋" w:eastAsia="仿宋"/>
          <w:snapToGrid w:val="0"/>
          <w:sz w:val="28"/>
          <w:szCs w:val="28"/>
        </w:rPr>
      </w:pPr>
      <w:bookmarkStart w:id="23" w:name="_Toc20823278"/>
      <w:bookmarkStart w:id="24" w:name="_Toc16938522"/>
      <w:bookmarkStart w:id="25" w:name="_Toc513029206"/>
      <w:r>
        <w:rPr>
          <w:rFonts w:hint="eastAsia" w:ascii="仿宋" w:hAnsi="仿宋" w:eastAsia="仿宋"/>
          <w:snapToGrid w:val="0"/>
          <w:sz w:val="28"/>
          <w:szCs w:val="28"/>
        </w:rPr>
        <w:t>3、适用法律</w:t>
      </w:r>
      <w:bookmarkEnd w:id="23"/>
      <w:bookmarkEnd w:id="24"/>
      <w:bookmarkEnd w:id="25"/>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3.1 本次招标及由此产生的合同受中华人民共和国有关的法律法规制约和保护。</w:t>
      </w:r>
    </w:p>
    <w:p>
      <w:pPr>
        <w:tabs>
          <w:tab w:val="left" w:pos="900"/>
        </w:tabs>
        <w:spacing w:line="566" w:lineRule="exact"/>
        <w:ind w:firstLine="560" w:firstLineChars="200"/>
        <w:rPr>
          <w:rFonts w:ascii="仿宋" w:hAnsi="仿宋" w:eastAsia="仿宋"/>
          <w:snapToGrid w:val="0"/>
          <w:sz w:val="28"/>
          <w:szCs w:val="28"/>
        </w:rPr>
      </w:pPr>
      <w:bookmarkStart w:id="26" w:name="_Toc16938523"/>
      <w:bookmarkStart w:id="27" w:name="_Toc462564067"/>
      <w:bookmarkStart w:id="28" w:name="_Toc513029207"/>
      <w:bookmarkStart w:id="29" w:name="_Toc20823279"/>
      <w:r>
        <w:rPr>
          <w:rFonts w:hint="eastAsia" w:ascii="仿宋" w:hAnsi="仿宋" w:eastAsia="仿宋"/>
          <w:snapToGrid w:val="0"/>
          <w:sz w:val="28"/>
          <w:szCs w:val="28"/>
        </w:rPr>
        <w:t>4、投标费用</w:t>
      </w:r>
      <w:bookmarkEnd w:id="26"/>
      <w:bookmarkEnd w:id="27"/>
      <w:bookmarkEnd w:id="28"/>
      <w:bookmarkEnd w:id="29"/>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4.1 投标人应自行承担所有与参加投标有关的费用，无论投标过程中的做法和结果如何，招标人和代理机构在任何情况下均无义务和责任承担这些费用。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4.2招标文件每套售价300元（现金），在递交投标文件的同时提交给招标代理机构。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4.3本项目招标代理服务费3600元。相关费用由中标供应商自行纳入考虑。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4.4评标程序顺利进行后，除供应商的原件可退回外，其余所有的响应文件都将作为档案保存，不论成交与否，代理机构均不退回。</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5、招标文件的约束力</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5.1 投标人一旦参加本项目采购活动，即被认为接受了本招标文件的规定和约束。</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5.2 本招标文件由代理机构负责解释。</w:t>
      </w:r>
    </w:p>
    <w:p>
      <w:pPr>
        <w:tabs>
          <w:tab w:val="left" w:pos="900"/>
        </w:tabs>
        <w:spacing w:line="566" w:lineRule="exact"/>
        <w:ind w:firstLine="560" w:firstLineChars="200"/>
        <w:rPr>
          <w:rFonts w:ascii="仿宋" w:hAnsi="仿宋" w:eastAsia="仿宋"/>
          <w:snapToGrid w:val="0"/>
          <w:sz w:val="28"/>
          <w:szCs w:val="28"/>
        </w:rPr>
      </w:pPr>
      <w:bookmarkStart w:id="30" w:name="_Toc120614215"/>
      <w:bookmarkStart w:id="31" w:name="_Toc513029209"/>
      <w:bookmarkStart w:id="32" w:name="_Toc20823281"/>
      <w:bookmarkStart w:id="33" w:name="_Toc16938525"/>
      <w:r>
        <w:rPr>
          <w:rFonts w:hint="eastAsia" w:ascii="仿宋" w:hAnsi="仿宋" w:eastAsia="仿宋"/>
          <w:snapToGrid w:val="0"/>
          <w:sz w:val="28"/>
          <w:szCs w:val="28"/>
        </w:rPr>
        <w:t>二、招标文件</w:t>
      </w:r>
      <w:bookmarkEnd w:id="30"/>
      <w:bookmarkEnd w:id="31"/>
      <w:bookmarkEnd w:id="32"/>
      <w:bookmarkEnd w:id="33"/>
    </w:p>
    <w:p>
      <w:pPr>
        <w:tabs>
          <w:tab w:val="left" w:pos="900"/>
        </w:tabs>
        <w:spacing w:line="566" w:lineRule="exact"/>
        <w:ind w:firstLine="560" w:firstLineChars="200"/>
        <w:rPr>
          <w:rFonts w:ascii="仿宋" w:hAnsi="仿宋" w:eastAsia="仿宋"/>
          <w:snapToGrid w:val="0"/>
          <w:sz w:val="28"/>
          <w:szCs w:val="28"/>
        </w:rPr>
      </w:pPr>
      <w:bookmarkStart w:id="34" w:name="_Toc513029210"/>
      <w:bookmarkStart w:id="35" w:name="_Toc20823282"/>
      <w:bookmarkStart w:id="36" w:name="_Toc16938526"/>
      <w:r>
        <w:rPr>
          <w:rFonts w:hint="eastAsia" w:ascii="仿宋" w:hAnsi="仿宋" w:eastAsia="仿宋"/>
          <w:snapToGrid w:val="0"/>
          <w:sz w:val="28"/>
          <w:szCs w:val="28"/>
        </w:rPr>
        <w:t>6、招标文件构成</w:t>
      </w:r>
      <w:bookmarkEnd w:id="34"/>
      <w:bookmarkEnd w:id="35"/>
      <w:bookmarkEnd w:id="36"/>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6.1 招标文件由以下部分组成：</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（1）招标公告</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（2）投标人须知</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（3）合同条款及格式</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（4）项目需求</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（5）评标方法与评标标准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（6）投标文件组成</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（7）投标文件格式</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请仔细检查招标文件是否齐全，如有缺、漏请立即与招标代理机构联系解决。</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tabs>
          <w:tab w:val="left" w:pos="900"/>
        </w:tabs>
        <w:spacing w:line="566" w:lineRule="exact"/>
        <w:ind w:firstLine="560" w:firstLineChars="200"/>
        <w:rPr>
          <w:rFonts w:ascii="仿宋" w:hAnsi="仿宋" w:eastAsia="仿宋"/>
          <w:snapToGrid w:val="0"/>
          <w:sz w:val="28"/>
          <w:szCs w:val="28"/>
        </w:rPr>
      </w:pPr>
      <w:bookmarkStart w:id="37" w:name="_Toc513029211"/>
      <w:bookmarkStart w:id="38" w:name="_Toc16938527"/>
      <w:bookmarkStart w:id="39" w:name="_Toc462564070"/>
      <w:bookmarkStart w:id="40" w:name="_Toc20823283"/>
      <w:r>
        <w:rPr>
          <w:rFonts w:hint="eastAsia" w:ascii="仿宋" w:hAnsi="仿宋" w:eastAsia="仿宋"/>
          <w:snapToGrid w:val="0"/>
          <w:sz w:val="28"/>
          <w:szCs w:val="28"/>
        </w:rPr>
        <w:t>7、招标文件的</w:t>
      </w:r>
      <w:bookmarkEnd w:id="37"/>
      <w:bookmarkEnd w:id="38"/>
      <w:bookmarkEnd w:id="39"/>
      <w:bookmarkEnd w:id="40"/>
      <w:r>
        <w:rPr>
          <w:rFonts w:hint="eastAsia" w:ascii="仿宋" w:hAnsi="仿宋" w:eastAsia="仿宋"/>
          <w:snapToGrid w:val="0"/>
          <w:sz w:val="28"/>
          <w:szCs w:val="28"/>
        </w:rPr>
        <w:t>澄清</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7.1 任何要求对招标文件进行澄清的投标人，应在投标截止期5日前按招标公告中的通讯地址，以书面形式通知招标代理机构。</w:t>
      </w:r>
    </w:p>
    <w:p>
      <w:pPr>
        <w:tabs>
          <w:tab w:val="left" w:pos="900"/>
        </w:tabs>
        <w:spacing w:line="566" w:lineRule="exact"/>
        <w:ind w:firstLine="560" w:firstLineChars="200"/>
        <w:rPr>
          <w:rFonts w:ascii="仿宋" w:hAnsi="仿宋" w:eastAsia="仿宋"/>
          <w:snapToGrid w:val="0"/>
          <w:sz w:val="28"/>
          <w:szCs w:val="28"/>
        </w:rPr>
      </w:pPr>
      <w:bookmarkStart w:id="41" w:name="_Toc462564071"/>
      <w:bookmarkStart w:id="42" w:name="_Toc20823284"/>
      <w:bookmarkStart w:id="43" w:name="_Toc513029212"/>
      <w:bookmarkStart w:id="44" w:name="_Toc16938528"/>
      <w:r>
        <w:rPr>
          <w:rFonts w:hint="eastAsia" w:ascii="仿宋" w:hAnsi="仿宋" w:eastAsia="仿宋"/>
          <w:snapToGrid w:val="0"/>
          <w:sz w:val="28"/>
          <w:szCs w:val="28"/>
        </w:rPr>
        <w:t>8、招标文件的修改</w:t>
      </w:r>
      <w:bookmarkEnd w:id="41"/>
      <w:bookmarkEnd w:id="42"/>
      <w:bookmarkEnd w:id="43"/>
      <w:bookmarkEnd w:id="44"/>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8.1 在投标截止时间前，招标代理机构可以对招标文件进行修改。</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8.2招标代理机构有权按照法定的要求推迟投标截止日期和开标日期。</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8.3招标文件的修改将在南通市政府采购网公布，补充文件将作为招标文件的组成部分，并对投标人具有约束力。</w:t>
      </w:r>
    </w:p>
    <w:p>
      <w:pPr>
        <w:tabs>
          <w:tab w:val="left" w:pos="900"/>
        </w:tabs>
        <w:spacing w:line="566" w:lineRule="exact"/>
        <w:ind w:firstLine="560" w:firstLineChars="200"/>
        <w:rPr>
          <w:rFonts w:ascii="仿宋" w:hAnsi="仿宋" w:eastAsia="仿宋"/>
          <w:snapToGrid w:val="0"/>
          <w:sz w:val="28"/>
          <w:szCs w:val="28"/>
        </w:rPr>
      </w:pPr>
      <w:bookmarkStart w:id="45" w:name="_Toc20823285"/>
      <w:bookmarkStart w:id="46" w:name="_Toc16938529"/>
      <w:bookmarkStart w:id="47" w:name="_Toc120614216"/>
      <w:bookmarkStart w:id="48" w:name="_Toc513029213"/>
      <w:bookmarkStart w:id="49" w:name="_Toc462564072"/>
      <w:r>
        <w:rPr>
          <w:rFonts w:hint="eastAsia" w:ascii="仿宋" w:hAnsi="仿宋" w:eastAsia="仿宋"/>
          <w:snapToGrid w:val="0"/>
          <w:sz w:val="28"/>
          <w:szCs w:val="28"/>
        </w:rPr>
        <w:t>三、投标文件的编制</w:t>
      </w:r>
      <w:bookmarkEnd w:id="45"/>
      <w:bookmarkEnd w:id="46"/>
      <w:bookmarkEnd w:id="47"/>
      <w:bookmarkEnd w:id="48"/>
      <w:bookmarkEnd w:id="49"/>
    </w:p>
    <w:p>
      <w:pPr>
        <w:tabs>
          <w:tab w:val="left" w:pos="900"/>
        </w:tabs>
        <w:spacing w:line="566" w:lineRule="exact"/>
        <w:ind w:firstLine="560" w:firstLineChars="200"/>
        <w:rPr>
          <w:rFonts w:ascii="仿宋" w:hAnsi="仿宋" w:eastAsia="仿宋"/>
          <w:snapToGrid w:val="0"/>
          <w:sz w:val="28"/>
          <w:szCs w:val="28"/>
        </w:rPr>
      </w:pPr>
      <w:bookmarkStart w:id="50" w:name="_Toc462564073"/>
      <w:bookmarkStart w:id="51" w:name="_Toc513029214"/>
      <w:bookmarkStart w:id="52" w:name="_Toc16938530"/>
      <w:bookmarkStart w:id="53" w:name="_Toc20823286"/>
      <w:r>
        <w:rPr>
          <w:rFonts w:hint="eastAsia" w:ascii="仿宋" w:hAnsi="仿宋" w:eastAsia="仿宋"/>
          <w:snapToGrid w:val="0"/>
          <w:sz w:val="28"/>
          <w:szCs w:val="28"/>
        </w:rPr>
        <w:t>9、投标文件的语言及度量衡单位</w:t>
      </w:r>
      <w:bookmarkEnd w:id="50"/>
      <w:bookmarkEnd w:id="51"/>
      <w:bookmarkEnd w:id="52"/>
      <w:bookmarkEnd w:id="53"/>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9.1 投标人提交的投标文件以及投标人与招标代理机构就有关投标的所有来往通知、函件和文件均应使用简体中文。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9.2 除技术性能另有规定外，投标文件所使用的度量衡单位，均须采用国家法定计量单位。</w:t>
      </w:r>
    </w:p>
    <w:p>
      <w:pPr>
        <w:tabs>
          <w:tab w:val="left" w:pos="900"/>
        </w:tabs>
        <w:spacing w:line="566" w:lineRule="exact"/>
        <w:ind w:firstLine="560" w:firstLineChars="200"/>
        <w:rPr>
          <w:rFonts w:ascii="仿宋" w:hAnsi="仿宋" w:eastAsia="仿宋"/>
          <w:snapToGrid w:val="0"/>
          <w:sz w:val="28"/>
          <w:szCs w:val="28"/>
        </w:rPr>
      </w:pPr>
      <w:bookmarkStart w:id="54" w:name="_Toc513029215"/>
      <w:bookmarkStart w:id="55" w:name="_Toc16938531"/>
      <w:bookmarkStart w:id="56" w:name="_Toc462564074"/>
      <w:bookmarkStart w:id="57" w:name="_Toc20823287"/>
      <w:r>
        <w:rPr>
          <w:rFonts w:hint="eastAsia" w:ascii="仿宋" w:hAnsi="仿宋" w:eastAsia="仿宋"/>
          <w:snapToGrid w:val="0"/>
          <w:sz w:val="28"/>
          <w:szCs w:val="28"/>
        </w:rPr>
        <w:t>10、投标文件构成</w:t>
      </w:r>
      <w:bookmarkEnd w:id="54"/>
      <w:bookmarkEnd w:id="55"/>
      <w:bookmarkEnd w:id="56"/>
      <w:bookmarkEnd w:id="57"/>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10.1 投标人编写的投标文件应包括资信证明文件、投标配置表、供货一览表、技术参数响应及偏离表、商务条款响应及偏离表、技术及售后服务承诺书、投标响应函、开标一览表、分项报价表等部分；</w:t>
      </w:r>
    </w:p>
    <w:p>
      <w:pPr>
        <w:tabs>
          <w:tab w:val="left" w:pos="900"/>
        </w:tabs>
        <w:spacing w:line="566" w:lineRule="exact"/>
        <w:ind w:firstLine="562" w:firstLineChars="200"/>
        <w:rPr>
          <w:rFonts w:ascii="仿宋" w:hAnsi="仿宋" w:eastAsia="仿宋"/>
          <w:b/>
          <w:bCs/>
          <w:snapToGrid w:val="0"/>
          <w:sz w:val="28"/>
          <w:szCs w:val="28"/>
        </w:rPr>
      </w:pPr>
      <w:r>
        <w:rPr>
          <w:rFonts w:hint="eastAsia" w:ascii="仿宋" w:hAnsi="仿宋" w:eastAsia="仿宋"/>
          <w:b/>
          <w:bCs/>
          <w:snapToGrid w:val="0"/>
          <w:sz w:val="28"/>
          <w:szCs w:val="28"/>
        </w:rPr>
        <w:t>10.2 投标人应将投标文件按顺序装订成册，并编制投标文件资料目录。</w:t>
      </w:r>
    </w:p>
    <w:p>
      <w:pPr>
        <w:tabs>
          <w:tab w:val="left" w:pos="900"/>
        </w:tabs>
        <w:spacing w:line="566" w:lineRule="exact"/>
        <w:ind w:firstLine="560" w:firstLineChars="200"/>
        <w:rPr>
          <w:rFonts w:ascii="仿宋" w:hAnsi="仿宋" w:eastAsia="仿宋"/>
          <w:snapToGrid w:val="0"/>
          <w:sz w:val="28"/>
          <w:szCs w:val="28"/>
        </w:rPr>
      </w:pPr>
      <w:bookmarkStart w:id="58" w:name="_Hlt26668975"/>
      <w:bookmarkEnd w:id="58"/>
      <w:bookmarkStart w:id="59" w:name="_Hlt26954838"/>
      <w:bookmarkEnd w:id="59"/>
      <w:bookmarkStart w:id="60" w:name="_Hlt26670360"/>
      <w:bookmarkEnd w:id="60"/>
      <w:bookmarkStart w:id="61" w:name="_Toc49090509"/>
      <w:bookmarkStart w:id="62" w:name="_Toc513029219"/>
      <w:bookmarkStart w:id="63" w:name="_Toc14577357"/>
      <w:bookmarkStart w:id="64" w:name="_Toc49090507"/>
      <w:bookmarkStart w:id="65" w:name="_Toc513029216"/>
      <w:bookmarkStart w:id="66" w:name="_Toc14577354"/>
      <w:r>
        <w:rPr>
          <w:rFonts w:hint="eastAsia" w:ascii="仿宋" w:hAnsi="仿宋" w:eastAsia="仿宋"/>
          <w:snapToGrid w:val="0"/>
          <w:sz w:val="28"/>
          <w:szCs w:val="28"/>
        </w:rPr>
        <w:t>11、证明投标人资格及符合招标文件规定的文件</w:t>
      </w:r>
      <w:bookmarkEnd w:id="61"/>
      <w:bookmarkEnd w:id="62"/>
      <w:bookmarkEnd w:id="63"/>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11.1</w:t>
      </w:r>
      <w:bookmarkStart w:id="67" w:name="_Hlt26668999"/>
      <w:bookmarkEnd w:id="67"/>
      <w:r>
        <w:rPr>
          <w:rFonts w:hint="eastAsia" w:ascii="仿宋" w:hAnsi="仿宋" w:eastAsia="仿宋"/>
          <w:snapToGrid w:val="0"/>
          <w:sz w:val="28"/>
          <w:szCs w:val="28"/>
        </w:rPr>
        <w:t>投标人应按要求提交资格证明文件及符合招标文件规定的文件。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11.2投标人应提交证明其有资格参加投标和中标后有能力独立履行合同的文件。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11.3投标人除必须具有履行合同所需提供的货物、服务能力外，还必须具备相应的财务、技术方面的能力。</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11.4投标人应提交根据合同要求提供的证明产品质量合格以及符合招标文件规定的证明文件。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11.5证明投标人所提供货物、服务与招标文件的要求相一致的文件可以是手册、图纸、文字资料和数据。</w:t>
      </w:r>
    </w:p>
    <w:bookmarkEnd w:id="64"/>
    <w:bookmarkEnd w:id="65"/>
    <w:bookmarkEnd w:id="66"/>
    <w:p>
      <w:pPr>
        <w:tabs>
          <w:tab w:val="left" w:pos="900"/>
        </w:tabs>
        <w:spacing w:line="566" w:lineRule="exact"/>
        <w:ind w:firstLine="560" w:firstLineChars="200"/>
        <w:rPr>
          <w:rFonts w:ascii="仿宋" w:hAnsi="仿宋" w:eastAsia="仿宋"/>
          <w:snapToGrid w:val="0"/>
          <w:sz w:val="28"/>
          <w:szCs w:val="28"/>
        </w:rPr>
      </w:pPr>
      <w:bookmarkStart w:id="68" w:name="_Toc14577355"/>
      <w:bookmarkStart w:id="69" w:name="_Toc49090508"/>
      <w:r>
        <w:rPr>
          <w:rFonts w:hint="eastAsia" w:ascii="仿宋" w:hAnsi="仿宋" w:eastAsia="仿宋"/>
          <w:snapToGrid w:val="0"/>
          <w:sz w:val="28"/>
          <w:szCs w:val="28"/>
        </w:rPr>
        <w:t>12、提供一览表和</w:t>
      </w:r>
      <w:bookmarkEnd w:id="68"/>
      <w:r>
        <w:rPr>
          <w:rFonts w:hint="eastAsia" w:ascii="仿宋" w:hAnsi="仿宋" w:eastAsia="仿宋"/>
          <w:snapToGrid w:val="0"/>
          <w:sz w:val="28"/>
          <w:szCs w:val="28"/>
        </w:rPr>
        <w:t>投标配置表、分项报价表</w:t>
      </w:r>
      <w:bookmarkEnd w:id="69"/>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12.1 投</w:t>
      </w:r>
      <w:bookmarkStart w:id="70" w:name="_Hlt26954840"/>
      <w:bookmarkEnd w:id="70"/>
      <w:r>
        <w:rPr>
          <w:rFonts w:hint="eastAsia" w:ascii="仿宋" w:hAnsi="仿宋" w:eastAsia="仿宋"/>
          <w:snapToGrid w:val="0"/>
          <w:sz w:val="28"/>
          <w:szCs w:val="28"/>
        </w:rPr>
        <w:t>标人应按照招标文件规定格式填报提供一览表、投标配置表、分项报价表</w:t>
      </w:r>
      <w:bookmarkStart w:id="71" w:name="_Hlt26670399"/>
      <w:bookmarkEnd w:id="71"/>
      <w:r>
        <w:rPr>
          <w:rFonts w:hint="eastAsia" w:ascii="仿宋" w:hAnsi="仿宋" w:eastAsia="仿宋"/>
          <w:snapToGrid w:val="0"/>
          <w:sz w:val="28"/>
          <w:szCs w:val="28"/>
        </w:rPr>
        <w:t>，在表中标明所提供的设备品牌、规格、型号、原产地、主要部件型号及其功能的中文说明和提供期。每项货物、服务等只允许有一个报价，任何有选择的报价将不予接受(如有备选配件，备选配件的报价不属于选择的报价)。</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12.2 采购人需求的货物、服务供应、安装，调试及有关技术服务等。</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12.3有关费用处理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12.4其它费用处理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招标文件未列明，而投标人认为必需的费用也需列入报价。</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12.5投标货币</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投标文件中的货物、服务单价和总价无特殊规定的采用人民币报价，以元为单位标注。招标文件中另有规定的按规定执行。</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12.6 投标配置表、分项报价表上的价格应按下列方式分开填写：</w:t>
      </w:r>
    </w:p>
    <w:p>
      <w:pPr>
        <w:tabs>
          <w:tab w:val="left" w:pos="900"/>
        </w:tabs>
        <w:spacing w:line="566" w:lineRule="exact"/>
        <w:ind w:firstLine="560" w:firstLineChars="200"/>
        <w:rPr>
          <w:rFonts w:hint="eastAsia" w:ascii="仿宋" w:hAnsi="仿宋" w:eastAsia="仿宋"/>
          <w:snapToGrid w:val="0"/>
          <w:sz w:val="28"/>
          <w:szCs w:val="28"/>
        </w:rPr>
      </w:pPr>
      <w:bookmarkStart w:id="72" w:name="_Hlt26954842"/>
      <w:bookmarkEnd w:id="72"/>
      <w:bookmarkStart w:id="73" w:name="_Hlt26670403"/>
      <w:bookmarkEnd w:id="73"/>
      <w:bookmarkStart w:id="74" w:name="_Hlt26954844"/>
      <w:bookmarkEnd w:id="74"/>
      <w:bookmarkStart w:id="75" w:name="_Hlt26670425"/>
      <w:bookmarkEnd w:id="75"/>
      <w:bookmarkStart w:id="76" w:name="_Hlt26668983"/>
      <w:bookmarkEnd w:id="76"/>
      <w:r>
        <w:rPr>
          <w:rFonts w:hint="eastAsia" w:ascii="仿宋" w:hAnsi="仿宋" w:eastAsia="仿宋"/>
          <w:snapToGrid w:val="0"/>
          <w:sz w:val="28"/>
          <w:szCs w:val="28"/>
        </w:rPr>
        <w:t>1）项目总价：</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包括买方需求的货物、服务价格、质量保证费用、培训费用及售后服务费用，项目在指定地点、环境交付、安装、调试、验收所需费用和所有相关税金费用及为完成整个项目所产生的其它所有费用。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2）项目单价按投标配置及分项报价表中要求填报。</w:t>
      </w:r>
    </w:p>
    <w:p>
      <w:pPr>
        <w:tabs>
          <w:tab w:val="left" w:pos="900"/>
        </w:tabs>
        <w:spacing w:line="566" w:lineRule="exact"/>
        <w:ind w:firstLine="560" w:firstLineChars="200"/>
        <w:rPr>
          <w:rFonts w:ascii="仿宋" w:hAnsi="仿宋" w:eastAsia="仿宋"/>
          <w:snapToGrid w:val="0"/>
          <w:sz w:val="28"/>
          <w:szCs w:val="28"/>
        </w:rPr>
      </w:pPr>
      <w:bookmarkStart w:id="77" w:name="_Hlt26670486"/>
      <w:bookmarkEnd w:id="77"/>
      <w:bookmarkStart w:id="78" w:name="_Hlt26954731"/>
      <w:bookmarkEnd w:id="78"/>
      <w:bookmarkStart w:id="79" w:name="_Hlt26954846"/>
      <w:bookmarkEnd w:id="79"/>
      <w:bookmarkStart w:id="80" w:name="_Hlt26954848"/>
      <w:bookmarkEnd w:id="80"/>
      <w:bookmarkStart w:id="81" w:name="_Hlt26670482"/>
      <w:bookmarkEnd w:id="81"/>
      <w:r>
        <w:rPr>
          <w:rFonts w:hint="eastAsia" w:ascii="仿宋" w:hAnsi="仿宋" w:eastAsia="仿宋"/>
          <w:snapToGrid w:val="0"/>
          <w:sz w:val="28"/>
          <w:szCs w:val="28"/>
        </w:rPr>
        <w:t>13、技术参数响应及偏离表、商务条款响应及偏离表及投标货物、服务说明</w:t>
      </w:r>
    </w:p>
    <w:p>
      <w:pPr>
        <w:tabs>
          <w:tab w:val="left" w:pos="900"/>
        </w:tabs>
        <w:spacing w:line="566" w:lineRule="exact"/>
        <w:ind w:firstLine="560" w:firstLineChars="200"/>
        <w:rPr>
          <w:rFonts w:ascii="仿宋" w:hAnsi="仿宋" w:eastAsia="仿宋"/>
          <w:snapToGrid w:val="0"/>
          <w:sz w:val="28"/>
          <w:szCs w:val="28"/>
          <w:lang w:val="zh-CN"/>
        </w:rPr>
      </w:pPr>
      <w:r>
        <w:rPr>
          <w:rFonts w:hint="eastAsia" w:ascii="仿宋" w:hAnsi="仿宋" w:eastAsia="仿宋"/>
          <w:snapToGrid w:val="0"/>
          <w:sz w:val="28"/>
          <w:szCs w:val="28"/>
          <w:lang w:val="zh-CN"/>
        </w:rPr>
        <w:t>13.1 对招标文件中的技术与商务条款要求逐项作出响应或偏离，并说明原因；</w:t>
      </w:r>
    </w:p>
    <w:p>
      <w:pPr>
        <w:tabs>
          <w:tab w:val="left" w:pos="900"/>
        </w:tabs>
        <w:spacing w:line="566" w:lineRule="exact"/>
        <w:ind w:firstLine="560" w:firstLineChars="200"/>
        <w:rPr>
          <w:rFonts w:ascii="仿宋" w:hAnsi="仿宋" w:eastAsia="仿宋"/>
          <w:snapToGrid w:val="0"/>
          <w:sz w:val="28"/>
          <w:szCs w:val="28"/>
          <w:lang w:val="zh-CN"/>
        </w:rPr>
      </w:pPr>
      <w:r>
        <w:rPr>
          <w:rFonts w:hint="eastAsia" w:ascii="仿宋" w:hAnsi="仿宋" w:eastAsia="仿宋"/>
          <w:snapToGrid w:val="0"/>
          <w:sz w:val="28"/>
          <w:szCs w:val="28"/>
          <w:lang w:val="zh-CN"/>
        </w:rPr>
        <w:t>13.2 提供参加本项目类似案例简介；</w:t>
      </w:r>
    </w:p>
    <w:p>
      <w:pPr>
        <w:tabs>
          <w:tab w:val="left" w:pos="900"/>
        </w:tabs>
        <w:spacing w:line="566" w:lineRule="exact"/>
        <w:ind w:firstLine="560" w:firstLineChars="200"/>
        <w:rPr>
          <w:rFonts w:ascii="仿宋" w:hAnsi="仿宋" w:eastAsia="仿宋"/>
          <w:snapToGrid w:val="0"/>
          <w:sz w:val="28"/>
          <w:szCs w:val="28"/>
          <w:lang w:val="zh-CN"/>
        </w:rPr>
      </w:pPr>
      <w:r>
        <w:rPr>
          <w:rFonts w:hint="eastAsia" w:ascii="仿宋" w:hAnsi="仿宋" w:eastAsia="仿宋"/>
          <w:snapToGrid w:val="0"/>
          <w:sz w:val="28"/>
          <w:szCs w:val="28"/>
          <w:lang w:val="zh-CN"/>
        </w:rPr>
        <w:t>13.3 培训计划；</w:t>
      </w:r>
    </w:p>
    <w:p>
      <w:pPr>
        <w:tabs>
          <w:tab w:val="left" w:pos="900"/>
        </w:tabs>
        <w:spacing w:line="566" w:lineRule="exact"/>
        <w:ind w:firstLine="560" w:firstLineChars="200"/>
        <w:rPr>
          <w:rFonts w:ascii="仿宋" w:hAnsi="仿宋" w:eastAsia="仿宋"/>
          <w:snapToGrid w:val="0"/>
          <w:sz w:val="28"/>
          <w:szCs w:val="28"/>
          <w:lang w:val="zh-CN"/>
        </w:rPr>
      </w:pPr>
      <w:r>
        <w:rPr>
          <w:rFonts w:hint="eastAsia" w:ascii="仿宋" w:hAnsi="仿宋" w:eastAsia="仿宋"/>
          <w:snapToGrid w:val="0"/>
          <w:sz w:val="28"/>
          <w:szCs w:val="28"/>
          <w:lang w:val="zh-CN"/>
        </w:rPr>
        <w:t>13.4 详细阐述所投货物运输、运作方案和时间节点、服务的主要组成部分及售后服务相关内容；</w:t>
      </w:r>
    </w:p>
    <w:p>
      <w:pPr>
        <w:tabs>
          <w:tab w:val="left" w:pos="900"/>
        </w:tabs>
        <w:spacing w:line="566" w:lineRule="exact"/>
        <w:ind w:firstLine="560" w:firstLineChars="200"/>
        <w:rPr>
          <w:rFonts w:ascii="仿宋" w:hAnsi="仿宋" w:eastAsia="仿宋"/>
          <w:snapToGrid w:val="0"/>
          <w:sz w:val="28"/>
          <w:szCs w:val="28"/>
          <w:lang w:val="zh-CN"/>
        </w:rPr>
      </w:pPr>
      <w:r>
        <w:rPr>
          <w:rFonts w:hint="eastAsia" w:ascii="仿宋" w:hAnsi="仿宋" w:eastAsia="仿宋"/>
          <w:snapToGrid w:val="0"/>
          <w:sz w:val="28"/>
          <w:szCs w:val="28"/>
          <w:lang w:val="zh-CN"/>
        </w:rPr>
        <w:t>13.5 投标人认为需要的其他技术文件或说明。</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w:t>
      </w:r>
      <w:r>
        <w:rPr>
          <w:rFonts w:hint="eastAsia" w:ascii="仿宋" w:hAnsi="仿宋" w:eastAsia="仿宋"/>
          <w:snapToGrid w:val="0"/>
          <w:sz w:val="28"/>
          <w:szCs w:val="28"/>
          <w:lang w:val="zh-CN"/>
        </w:rPr>
        <w:t>4、服务承诺及售后服务机构、人员的情况介绍</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14、1投标人的服务承诺应按不低于招标文件中商务要求的标准。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14、2提供投标人有关售后服务的管理制度、售后服务机构的分布情况、售后服务人员的数量、素质、技术水平及售后服务的反应能力。</w:t>
      </w:r>
    </w:p>
    <w:p>
      <w:pPr>
        <w:tabs>
          <w:tab w:val="left" w:pos="900"/>
        </w:tabs>
        <w:spacing w:line="566" w:lineRule="exact"/>
        <w:ind w:firstLine="560" w:firstLineChars="200"/>
        <w:rPr>
          <w:rFonts w:ascii="仿宋" w:hAnsi="仿宋" w:eastAsia="仿宋"/>
          <w:snapToGrid w:val="0"/>
          <w:sz w:val="28"/>
          <w:szCs w:val="28"/>
        </w:rPr>
      </w:pPr>
      <w:bookmarkStart w:id="82" w:name="_Toc14577359"/>
      <w:bookmarkStart w:id="83" w:name="_Toc49090510"/>
      <w:r>
        <w:rPr>
          <w:rFonts w:hint="eastAsia" w:ascii="仿宋" w:hAnsi="仿宋" w:eastAsia="仿宋"/>
          <w:snapToGrid w:val="0"/>
          <w:sz w:val="28"/>
          <w:szCs w:val="28"/>
        </w:rPr>
        <w:t>15、投标函和开标一览表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15.1 投标人应按照招标文件中提供的格式完整、正确填写投标函、开标一览表。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15.2 开标一览表中的价格应与投标文件中分项报价表中的价格一致，如不一致，不作为无效投标处理，但评标时按开标一览表中价格为准。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15.3 开标一览表与分项报价表必须加盖公章，必须两表一起单独密封在信封中，在投标截止时间前与投标文件分别密封同时递交，否则视为无效投标。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16、投标保证金</w:t>
      </w:r>
      <w:bookmarkEnd w:id="82"/>
      <w:bookmarkEnd w:id="83"/>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16.1在开标时，未按要求提交投标保证金的投标无效。</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16.2未中标的投标人的投标保证金，当场退还（不计息）。</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16.3中标人的投标保证金，合同签订后退还。</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16.4 下列任何情况发生时，投标保证金将不予退还：</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（1）投标人在投标有效期内撤回其投标；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（2）提供虚假材料谋取中标、成交的；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（3）采取不正当手段诋毁、排挤其他供应商的；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（4）与采购人、其他供应商恶意串通的。</w:t>
      </w:r>
    </w:p>
    <w:p>
      <w:pPr>
        <w:tabs>
          <w:tab w:val="left" w:pos="900"/>
        </w:tabs>
        <w:spacing w:line="566" w:lineRule="exact"/>
        <w:ind w:firstLine="560" w:firstLineChars="200"/>
        <w:rPr>
          <w:rFonts w:ascii="仿宋" w:hAnsi="仿宋" w:eastAsia="仿宋"/>
          <w:snapToGrid w:val="0"/>
          <w:sz w:val="28"/>
          <w:szCs w:val="28"/>
        </w:rPr>
      </w:pPr>
      <w:bookmarkStart w:id="84" w:name="_Hlt26954850"/>
      <w:bookmarkEnd w:id="84"/>
      <w:bookmarkStart w:id="85" w:name="_Hlt26670489"/>
      <w:bookmarkEnd w:id="85"/>
      <w:bookmarkStart w:id="86" w:name="_Hlt26954734"/>
      <w:bookmarkEnd w:id="86"/>
      <w:bookmarkStart w:id="87" w:name="_Toc14577360"/>
      <w:bookmarkStart w:id="88" w:name="_Toc49090511"/>
      <w:r>
        <w:rPr>
          <w:rFonts w:hint="eastAsia" w:ascii="仿宋" w:hAnsi="仿宋" w:eastAsia="仿宋"/>
          <w:snapToGrid w:val="0"/>
          <w:sz w:val="28"/>
          <w:szCs w:val="28"/>
        </w:rPr>
        <w:t>17、投标有效期</w:t>
      </w:r>
      <w:bookmarkEnd w:id="87"/>
      <w:bookmarkEnd w:id="88"/>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17.1 投标有效期为招标代理机构规定的开标之日后四十五（45）天。投标有效期比规定短的将被视为非响应性投标而予以拒绝。</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17.2 在特殊情况下，招标代理机构于原投标有效期满之前，可向投标人提出延长投标有效期的要求。这种要求与答复均应采用书面形式。投标人可以拒绝招标代理机构的这一要求而放弃投标，招标代理机构在接到投标人书面答复后，将在原投标有效期满后五日内无息退还其投标保证金。同意延长投标有效期的投标人既不能要求也不允许修改其投标文件。第16条有关投标保证金的规定在延长期内继续有效，同时受投标有效期约束的所有权利与义务均延长至新的有效期。</w:t>
      </w:r>
    </w:p>
    <w:p>
      <w:pPr>
        <w:tabs>
          <w:tab w:val="left" w:pos="900"/>
        </w:tabs>
        <w:spacing w:line="566" w:lineRule="exact"/>
        <w:ind w:firstLine="560" w:firstLineChars="200"/>
        <w:rPr>
          <w:rFonts w:ascii="仿宋" w:hAnsi="仿宋" w:eastAsia="仿宋"/>
          <w:snapToGrid w:val="0"/>
          <w:sz w:val="28"/>
          <w:szCs w:val="28"/>
        </w:rPr>
      </w:pPr>
      <w:bookmarkStart w:id="89" w:name="_Hlt26954739"/>
      <w:bookmarkEnd w:id="89"/>
      <w:bookmarkStart w:id="90" w:name="_Hlt26954852"/>
      <w:bookmarkEnd w:id="90"/>
      <w:bookmarkStart w:id="91" w:name="_Toc14577361"/>
      <w:bookmarkStart w:id="92" w:name="_Toc49090512"/>
      <w:r>
        <w:rPr>
          <w:rFonts w:hint="eastAsia" w:ascii="仿宋" w:hAnsi="仿宋" w:eastAsia="仿宋"/>
          <w:snapToGrid w:val="0"/>
          <w:sz w:val="28"/>
          <w:szCs w:val="28"/>
        </w:rPr>
        <w:t>18、投标文件份数和签署</w:t>
      </w:r>
      <w:bookmarkEnd w:id="91"/>
      <w:bookmarkEnd w:id="92"/>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18.1 投标人应严格按照招标公告要求的份数准备投标文件，每份投标文件须清楚地标明“正本”或“副本”字样。一旦正本和副本不符，以正本为准。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18.3 除投标人对错处做必要修改外，投标文件不得行间插字、涂改或增删。如有修改错漏处，必须由投标文件签署人签字或盖章。</w:t>
      </w:r>
    </w:p>
    <w:p>
      <w:pPr>
        <w:tabs>
          <w:tab w:val="left" w:pos="900"/>
        </w:tabs>
        <w:spacing w:line="566" w:lineRule="exact"/>
        <w:ind w:firstLine="560" w:firstLineChars="200"/>
        <w:rPr>
          <w:rFonts w:ascii="仿宋" w:hAnsi="仿宋" w:eastAsia="仿宋"/>
          <w:snapToGrid w:val="0"/>
          <w:sz w:val="28"/>
          <w:szCs w:val="28"/>
        </w:rPr>
      </w:pPr>
      <w:bookmarkStart w:id="93" w:name="_Toc513029224"/>
      <w:bookmarkStart w:id="94" w:name="_Toc16938540"/>
      <w:bookmarkStart w:id="95" w:name="_Toc20823296"/>
      <w:bookmarkStart w:id="96" w:name="_Toc120614217"/>
      <w:r>
        <w:rPr>
          <w:rFonts w:hint="eastAsia" w:ascii="仿宋" w:hAnsi="仿宋" w:eastAsia="仿宋"/>
          <w:snapToGrid w:val="0"/>
          <w:sz w:val="28"/>
          <w:szCs w:val="28"/>
        </w:rPr>
        <w:t>四、投标文件的递交</w:t>
      </w:r>
      <w:bookmarkEnd w:id="93"/>
      <w:bookmarkEnd w:id="94"/>
      <w:bookmarkEnd w:id="95"/>
      <w:bookmarkEnd w:id="96"/>
    </w:p>
    <w:p>
      <w:pPr>
        <w:tabs>
          <w:tab w:val="left" w:pos="900"/>
        </w:tabs>
        <w:spacing w:line="566" w:lineRule="exact"/>
        <w:ind w:firstLine="560" w:firstLineChars="200"/>
        <w:rPr>
          <w:rFonts w:ascii="仿宋" w:hAnsi="仿宋" w:eastAsia="仿宋"/>
          <w:snapToGrid w:val="0"/>
          <w:sz w:val="28"/>
          <w:szCs w:val="28"/>
        </w:rPr>
      </w:pPr>
      <w:bookmarkStart w:id="97" w:name="_Toc462564084"/>
      <w:bookmarkStart w:id="98" w:name="_Toc513029225"/>
      <w:bookmarkStart w:id="99" w:name="_Toc20823297"/>
      <w:bookmarkStart w:id="100" w:name="_Toc16938541"/>
      <w:r>
        <w:rPr>
          <w:rFonts w:hint="eastAsia" w:ascii="仿宋" w:hAnsi="仿宋" w:eastAsia="仿宋"/>
          <w:snapToGrid w:val="0"/>
          <w:sz w:val="28"/>
          <w:szCs w:val="28"/>
        </w:rPr>
        <w:t>19、投标文件的密封和标记</w:t>
      </w:r>
      <w:bookmarkEnd w:id="97"/>
      <w:bookmarkEnd w:id="98"/>
      <w:bookmarkEnd w:id="99"/>
      <w:bookmarkEnd w:id="100"/>
      <w:r>
        <w:rPr>
          <w:rFonts w:hint="eastAsia" w:ascii="仿宋" w:hAnsi="仿宋" w:eastAsia="仿宋"/>
          <w:snapToGrid w:val="0"/>
          <w:sz w:val="28"/>
          <w:szCs w:val="28"/>
        </w:rPr>
        <w:t>（纸质投标文件）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19.1投标人应将投标文件正本和所有副本密封，不论投标人中标与否，投标文件均不退回。</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19.2密封的投标文件应：</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19.2.1 注明投标人名称，如因标注不清而产生的后果由投标人自负。按招标公告中注明的地址送达；</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19.2.2  注明投标项目名称、标书编号。</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19.2.3  未按要求密封和加写标记，招标代理机构对误投或过早启封概不负责。对由此造成提前开封的投标文件，招标代理机构将予以拒绝，作无效投标处理。</w:t>
      </w:r>
    </w:p>
    <w:p>
      <w:pPr>
        <w:tabs>
          <w:tab w:val="left" w:pos="900"/>
        </w:tabs>
        <w:spacing w:line="566" w:lineRule="exact"/>
        <w:ind w:firstLine="560" w:firstLineChars="200"/>
        <w:rPr>
          <w:rFonts w:ascii="仿宋" w:hAnsi="仿宋" w:eastAsia="仿宋"/>
          <w:snapToGrid w:val="0"/>
          <w:sz w:val="28"/>
          <w:szCs w:val="28"/>
        </w:rPr>
      </w:pPr>
      <w:bookmarkStart w:id="101" w:name="_Toc513029226"/>
      <w:bookmarkStart w:id="102" w:name="_Toc16938542"/>
      <w:bookmarkStart w:id="103" w:name="_Toc20823298"/>
      <w:r>
        <w:rPr>
          <w:rFonts w:hint="eastAsia" w:ascii="仿宋" w:hAnsi="仿宋" w:eastAsia="仿宋"/>
          <w:snapToGrid w:val="0"/>
          <w:sz w:val="28"/>
          <w:szCs w:val="28"/>
        </w:rPr>
        <w:t>20、投标截止日期</w:t>
      </w:r>
      <w:bookmarkEnd w:id="101"/>
      <w:bookmarkEnd w:id="102"/>
      <w:bookmarkEnd w:id="103"/>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20.1 招标代理机构收到投标文件的时间不得迟于招标公告中规定的截止时间。</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20.2 招标代理机构可以按照规定，通过修改招标文件酌情延长投标截止日期，在此情况下，投标人的所有权利和义务以及投标人受制的截止日期均应以延长后新的截止日期为准。</w:t>
      </w:r>
    </w:p>
    <w:p>
      <w:pPr>
        <w:tabs>
          <w:tab w:val="left" w:pos="900"/>
        </w:tabs>
        <w:spacing w:line="566" w:lineRule="exact"/>
        <w:ind w:firstLine="560" w:firstLineChars="200"/>
        <w:rPr>
          <w:rFonts w:ascii="仿宋" w:hAnsi="仿宋" w:eastAsia="仿宋"/>
          <w:snapToGrid w:val="0"/>
          <w:sz w:val="28"/>
          <w:szCs w:val="28"/>
        </w:rPr>
      </w:pPr>
      <w:bookmarkStart w:id="104" w:name="_Toc20823299"/>
      <w:bookmarkStart w:id="105" w:name="_Toc16938543"/>
      <w:bookmarkStart w:id="106" w:name="_Toc513029227"/>
      <w:r>
        <w:rPr>
          <w:rFonts w:hint="eastAsia" w:ascii="仿宋" w:hAnsi="仿宋" w:eastAsia="仿宋"/>
          <w:snapToGrid w:val="0"/>
          <w:sz w:val="28"/>
          <w:szCs w:val="28"/>
        </w:rPr>
        <w:t>21、</w:t>
      </w:r>
      <w:bookmarkEnd w:id="104"/>
      <w:bookmarkEnd w:id="105"/>
      <w:bookmarkEnd w:id="106"/>
      <w:r>
        <w:rPr>
          <w:rFonts w:hint="eastAsia" w:ascii="仿宋" w:hAnsi="仿宋" w:eastAsia="仿宋"/>
          <w:snapToGrid w:val="0"/>
          <w:sz w:val="28"/>
          <w:szCs w:val="28"/>
        </w:rPr>
        <w:t>投标文件的递交</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21.1 招标代理机构拒绝接收在其规定的投标截止时间后递交的任何投标文件。</w:t>
      </w:r>
    </w:p>
    <w:p>
      <w:pPr>
        <w:tabs>
          <w:tab w:val="left" w:pos="900"/>
        </w:tabs>
        <w:spacing w:line="566" w:lineRule="exact"/>
        <w:ind w:firstLine="560" w:firstLineChars="200"/>
        <w:rPr>
          <w:rFonts w:ascii="仿宋" w:hAnsi="仿宋" w:eastAsia="仿宋"/>
          <w:snapToGrid w:val="0"/>
          <w:sz w:val="28"/>
          <w:szCs w:val="28"/>
        </w:rPr>
      </w:pPr>
      <w:bookmarkStart w:id="107" w:name="_Toc513029228"/>
      <w:bookmarkStart w:id="108" w:name="_Toc20823300"/>
      <w:bookmarkStart w:id="109" w:name="_Toc16938544"/>
      <w:r>
        <w:rPr>
          <w:rFonts w:hint="eastAsia" w:ascii="仿宋" w:hAnsi="仿宋" w:eastAsia="仿宋"/>
          <w:snapToGrid w:val="0"/>
          <w:sz w:val="28"/>
          <w:szCs w:val="28"/>
        </w:rPr>
        <w:t>22、投标文件的修改和撤回</w:t>
      </w:r>
      <w:bookmarkEnd w:id="107"/>
      <w:bookmarkEnd w:id="108"/>
      <w:bookmarkEnd w:id="109"/>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22.1 投标人在递交投标文件后，可以修改或撤回其投标文件，但这种修改和撤回，必须在规定的投标截止时间前，以书面形式通知招标代理机构，修改或撤回其投标文件。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22.2 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代理机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22.3 在投标截止时间之后，投标人不得对其投标文件作任何修改。</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22.4 在投标截止时间至招标文件中规定的投标有效期满之间的这段时间内，投标人不得撤回其投标，否则其投标保证金将不予退还。</w:t>
      </w:r>
    </w:p>
    <w:p>
      <w:pPr>
        <w:tabs>
          <w:tab w:val="left" w:pos="900"/>
        </w:tabs>
        <w:spacing w:line="566" w:lineRule="exact"/>
        <w:ind w:firstLine="560" w:firstLineChars="200"/>
        <w:rPr>
          <w:rFonts w:ascii="仿宋" w:hAnsi="仿宋" w:eastAsia="仿宋"/>
          <w:snapToGrid w:val="0"/>
          <w:sz w:val="28"/>
          <w:szCs w:val="28"/>
        </w:rPr>
      </w:pPr>
      <w:bookmarkStart w:id="110" w:name="_Toc513029229"/>
      <w:bookmarkStart w:id="111" w:name="_Toc20823301"/>
      <w:bookmarkStart w:id="112" w:name="_Toc16938545"/>
      <w:bookmarkStart w:id="113" w:name="_Toc120614218"/>
      <w:r>
        <w:rPr>
          <w:rFonts w:hint="eastAsia" w:ascii="仿宋" w:hAnsi="仿宋" w:eastAsia="仿宋"/>
          <w:snapToGrid w:val="0"/>
          <w:sz w:val="28"/>
          <w:szCs w:val="28"/>
        </w:rPr>
        <w:t>五、开标与评标</w:t>
      </w:r>
      <w:bookmarkEnd w:id="110"/>
      <w:bookmarkEnd w:id="111"/>
      <w:bookmarkEnd w:id="112"/>
      <w:bookmarkEnd w:id="113"/>
    </w:p>
    <w:p>
      <w:pPr>
        <w:tabs>
          <w:tab w:val="left" w:pos="900"/>
        </w:tabs>
        <w:spacing w:line="566" w:lineRule="exact"/>
        <w:ind w:firstLine="560" w:firstLineChars="200"/>
        <w:rPr>
          <w:rFonts w:ascii="仿宋" w:hAnsi="仿宋" w:eastAsia="仿宋"/>
          <w:snapToGrid w:val="0"/>
          <w:sz w:val="28"/>
          <w:szCs w:val="28"/>
        </w:rPr>
      </w:pPr>
      <w:bookmarkStart w:id="114" w:name="_Toc16938546"/>
      <w:bookmarkStart w:id="115" w:name="_Toc20823302"/>
      <w:bookmarkStart w:id="116" w:name="_Toc513029230"/>
      <w:r>
        <w:rPr>
          <w:rFonts w:hint="eastAsia" w:ascii="仿宋" w:hAnsi="仿宋" w:eastAsia="仿宋"/>
          <w:snapToGrid w:val="0"/>
          <w:sz w:val="28"/>
          <w:szCs w:val="28"/>
        </w:rPr>
        <w:t>23、开标</w:t>
      </w:r>
      <w:bookmarkEnd w:id="114"/>
      <w:bookmarkEnd w:id="115"/>
      <w:bookmarkEnd w:id="116"/>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23.1 招标代理机构将在招标公告中规定的时间和地点组织公开开标。投标人应委派携带有效身份证件的授权代表准时参加，参加开标的授权代表需签名以证明其出席。</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23.2开标仪式由招标代理机构组织，采购人代表、投标人授权代表、监管代表（必要时）等参加。</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23.3 按照规定同意撤回的投标将不予开封。</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23.4 开标时由投标人推选的代表查验投标文件密封情况，确认无误后，招标代理机构当众拆封宣读每份投标文件中“开标一览表”的内容，未列入开标一览表的内容一律不在开标时宣读。开标时未宣读的投标报价信息，不得在评标时采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23.5 招标代理机构将指定专人负责开标记录并存档备查。</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23.6 投标人在报价时不允许采用选择性报价，否则将被视为无效投标。</w:t>
      </w:r>
    </w:p>
    <w:p>
      <w:pPr>
        <w:tabs>
          <w:tab w:val="left" w:pos="900"/>
        </w:tabs>
        <w:spacing w:line="566" w:lineRule="exact"/>
        <w:ind w:firstLine="560" w:firstLineChars="200"/>
        <w:rPr>
          <w:rFonts w:ascii="仿宋" w:hAnsi="仿宋" w:eastAsia="仿宋"/>
          <w:snapToGrid w:val="0"/>
          <w:sz w:val="28"/>
          <w:szCs w:val="28"/>
        </w:rPr>
      </w:pPr>
      <w:bookmarkStart w:id="117" w:name="_Toc20823303"/>
      <w:bookmarkStart w:id="118" w:name="_Toc16938547"/>
      <w:bookmarkStart w:id="119" w:name="_Toc513029231"/>
      <w:r>
        <w:rPr>
          <w:rFonts w:hint="eastAsia" w:ascii="仿宋" w:hAnsi="仿宋" w:eastAsia="仿宋"/>
          <w:snapToGrid w:val="0"/>
          <w:sz w:val="28"/>
          <w:szCs w:val="28"/>
        </w:rPr>
        <w:t>24、评标委员会</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24.1 开标后，招标代理机构将立即组织评标委员会（以下简称评委会）进行评标。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24.2 评委会由省专家库中抽取有关技术、经济等方面的专家组成，且人员构成符合政府采购有关规定。</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24.3评委会独立工作，负责评审所有投标文件并确定中标人或中标候选人。</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25．评标过程的保密与公正</w:t>
      </w:r>
    </w:p>
    <w:bookmarkEnd w:id="117"/>
    <w:bookmarkEnd w:id="118"/>
    <w:bookmarkEnd w:id="119"/>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25.1公开开标后，直至向中标的投标人授予合同时止，凡是与审查、澄清、评价和比较投标的有关资料以及授标建议等，采购人、评委、招标代理机构均不得向投标人或与评标无关的其他人员透露。</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25.2在评标过程中，投标人不得以任何行为影响评标过程，否则其投标文件将被作为无效投标文件。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25.3在评标期间，招标代理机构将设专门人员与投标人联系。</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25.4招标人、采购人代表将于开标地点现场宣布评标结果。招标代理机构和评标委员会不向未中标的投标人解释未中标原因，也不公布评标过程中的相关细节。</w:t>
      </w:r>
    </w:p>
    <w:p>
      <w:pPr>
        <w:tabs>
          <w:tab w:val="left" w:pos="900"/>
        </w:tabs>
        <w:spacing w:line="566" w:lineRule="exact"/>
        <w:ind w:firstLine="560" w:firstLineChars="200"/>
        <w:rPr>
          <w:rFonts w:ascii="仿宋" w:hAnsi="仿宋" w:eastAsia="仿宋"/>
          <w:snapToGrid w:val="0"/>
          <w:sz w:val="28"/>
          <w:szCs w:val="28"/>
        </w:rPr>
      </w:pPr>
      <w:bookmarkStart w:id="120" w:name="_Toc513029232"/>
      <w:bookmarkStart w:id="121" w:name="_Toc20823304"/>
      <w:bookmarkStart w:id="122" w:name="_Toc16938548"/>
      <w:r>
        <w:rPr>
          <w:rFonts w:hint="eastAsia" w:ascii="仿宋" w:hAnsi="仿宋" w:eastAsia="仿宋"/>
          <w:snapToGrid w:val="0"/>
          <w:sz w:val="28"/>
          <w:szCs w:val="28"/>
        </w:rPr>
        <w:t>26．投标的澄清</w:t>
      </w:r>
      <w:bookmarkEnd w:id="120"/>
      <w:bookmarkEnd w:id="121"/>
      <w:bookmarkEnd w:id="122"/>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26.1评标期间，为有助于对投标文件的审查、评价和比较，评委会有权以书面形式要求投标人对其投标文件进行澄清，但并非对每个投标人都作澄清要求。</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26.2接到评委会澄清要求的投标人应派人按评委会通知的时间和地点做出书面澄清，书面澄清的内容须由投标人法人或授权代表签署，并作为投标文件的补充部分，但投标的价格和实质性的内容不得做任何更改。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26.3 接到评委会澄清要求的投标人如未按规定做出澄清，其风险由投标人自行承担。</w:t>
      </w:r>
    </w:p>
    <w:p>
      <w:pPr>
        <w:tabs>
          <w:tab w:val="left" w:pos="900"/>
        </w:tabs>
        <w:spacing w:line="566" w:lineRule="exact"/>
        <w:ind w:firstLine="560" w:firstLineChars="200"/>
        <w:rPr>
          <w:rFonts w:ascii="仿宋" w:hAnsi="仿宋" w:eastAsia="仿宋"/>
          <w:snapToGrid w:val="0"/>
          <w:sz w:val="28"/>
          <w:szCs w:val="28"/>
        </w:rPr>
      </w:pPr>
      <w:bookmarkStart w:id="123" w:name="_Toc16938549"/>
      <w:bookmarkStart w:id="124" w:name="_Toc20823305"/>
      <w:bookmarkStart w:id="125" w:name="_Toc513029233"/>
      <w:r>
        <w:rPr>
          <w:rFonts w:hint="eastAsia" w:ascii="仿宋" w:hAnsi="仿宋" w:eastAsia="仿宋"/>
          <w:snapToGrid w:val="0"/>
          <w:sz w:val="28"/>
          <w:szCs w:val="28"/>
        </w:rPr>
        <w:t>27、对投标文件的初审</w:t>
      </w:r>
      <w:bookmarkEnd w:id="123"/>
      <w:bookmarkEnd w:id="124"/>
      <w:bookmarkEnd w:id="125"/>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27.1投标文件初审分为资格审查和符合性审查。</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27.1.1 由评委会从投标文件的有效性、完整性和对招标文件的响应程度进行审查，以确定是否对招标文件的实质性要求作出响应。</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27.1.2 未通过资格审查或符合性审查的投标人，采购代理机构将在评标现场向其授权代表告知未通过资格审查或符合性审查的原因，评审结束后，采购代理机构将不再告知未通过资格审查或符合性审查的原因。</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27.2在详细评标之前，评委会将首先审查每份投标文件是否实质性响应了招标文件的要求。实质性响应的投标应该是与招标文件要求的全部条款、条件和规格相符，没有重大偏离或保留的投标。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27.3如果投标文件实质上没有响应招标文件的要求，评委会将予以拒绝，投标人不得通过修改或撤销不合要求的偏离或保留而使其投标成为实质性响应的投标。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27.4评委会将对确定为实质性响应的投标进行进一步审核，看其是否有计算上或累加上的算术错误，修正错误的原则如下：</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（1）投标文件中开标一览表内容与投标文件中相应内容不一致的，以开标一览表为准。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（2）大写金额和小写金额不一致的，以大写金额为准。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（3）单价金额小数点或者百分比有明显错位的，以开标一览表的总价为准，并修改单价。</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（4）总价金额与按单价汇总金额不一致的，以单价金额计算结果为准。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同时出现两种以上错误的，按照前款规定的顺序修正。</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27.5评委会将按上述修正错误的方法修正投标文件中的投标报价，修正后的价格经投标人确认后具有约束力。如果投标人不确认的，则其投标将被拒绝，其投标保证金不予退还。</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27.6 评委会将允许修正投标文件中不构成重大偏离的、微小的、非正规的、不一致的或不规则的地方，但这些修改不能影响任何投标人相应的名次排列。</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27.7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非单一产品采购项目，招标文件中将载明其中的核心产品。多家投标人提供的核心产品品牌相同的，按前两款规定处理。</w:t>
      </w:r>
    </w:p>
    <w:p>
      <w:pPr>
        <w:tabs>
          <w:tab w:val="left" w:pos="900"/>
        </w:tabs>
        <w:spacing w:line="566" w:lineRule="exact"/>
        <w:ind w:firstLine="560" w:firstLineChars="200"/>
        <w:rPr>
          <w:rFonts w:ascii="仿宋" w:hAnsi="仿宋" w:eastAsia="仿宋"/>
          <w:snapToGrid w:val="0"/>
          <w:sz w:val="28"/>
          <w:szCs w:val="28"/>
        </w:rPr>
      </w:pPr>
      <w:bookmarkStart w:id="126" w:name="_Toc513029234"/>
      <w:bookmarkStart w:id="127" w:name="_Toc16938550"/>
      <w:bookmarkStart w:id="128" w:name="_Toc20823306"/>
      <w:r>
        <w:rPr>
          <w:rFonts w:hint="eastAsia" w:ascii="仿宋" w:hAnsi="仿宋" w:eastAsia="仿宋"/>
          <w:snapToGrid w:val="0"/>
          <w:sz w:val="28"/>
          <w:szCs w:val="28"/>
        </w:rPr>
        <w:t>28、</w:t>
      </w:r>
      <w:bookmarkEnd w:id="126"/>
      <w:bookmarkEnd w:id="127"/>
      <w:bookmarkEnd w:id="128"/>
      <w:r>
        <w:rPr>
          <w:rFonts w:hint="eastAsia" w:ascii="仿宋" w:hAnsi="仿宋" w:eastAsia="仿宋"/>
          <w:snapToGrid w:val="0"/>
          <w:sz w:val="28"/>
          <w:szCs w:val="28"/>
        </w:rPr>
        <w:t>无效投标条款和废标条款</w:t>
      </w:r>
    </w:p>
    <w:p>
      <w:pPr>
        <w:tabs>
          <w:tab w:val="left" w:pos="900"/>
        </w:tabs>
        <w:spacing w:line="566" w:lineRule="exact"/>
        <w:ind w:firstLine="560" w:firstLineChars="200"/>
        <w:rPr>
          <w:rFonts w:ascii="仿宋" w:hAnsi="仿宋" w:eastAsia="仿宋"/>
          <w:snapToGrid w:val="0"/>
          <w:sz w:val="28"/>
          <w:szCs w:val="28"/>
        </w:rPr>
      </w:pPr>
      <w:bookmarkStart w:id="129" w:name="_Toc16938551"/>
      <w:bookmarkStart w:id="130" w:name="_Toc20823307"/>
      <w:bookmarkStart w:id="131" w:name="_Toc513029235"/>
      <w:r>
        <w:rPr>
          <w:rFonts w:hint="eastAsia" w:ascii="仿宋" w:hAnsi="仿宋" w:eastAsia="仿宋"/>
          <w:snapToGrid w:val="0"/>
          <w:sz w:val="28"/>
          <w:szCs w:val="28"/>
        </w:rPr>
        <w:t>28.1无效投标条款</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28.1.1未按要求交纳投标保证金的。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28.1.2未按照招标文件规定要求密封、签署、盖章的。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28.1.3投标人在报价时采用选择性报价的。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28.1.4投标人不具备招标文件中规定资格要求的。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28.1.5投标人的报价超过了采购预算或最高限价的。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28.1.6未通过符合性检查的。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28.1.7不符合招标文件中规定的其他实质性要求和条件的。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28.1.8投标文件含有采购人不能接受的附加条件的。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28.1.10其他法律、法规及本招标文件规定的属无效投标的情形。</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28.2废标条款：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28.2.1符合专业条件的供应商或者对招标文件作实质响应的供应商不足三家的。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28.2.2出现影响采购公正的违法、违规行为的。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28.2.3因重大变故，采购任务取消的。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28.2.4评标委员会认定招标文件存在歧义、重大缺陷导致评审工作无法进行。</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28.3 投标截止时间结束后参加投标的供应商不足三家的处理：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28.3.1如出现投标截止时间结束后参加投标的供应商或者在评标期间对招标文件做出实质响应的供应商不足三家情况，按政府采购相关规定执行。</w:t>
      </w:r>
      <w:bookmarkStart w:id="132" w:name="_Toc120614219"/>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六、</w:t>
      </w:r>
      <w:bookmarkEnd w:id="129"/>
      <w:bookmarkEnd w:id="130"/>
      <w:bookmarkEnd w:id="131"/>
      <w:r>
        <w:rPr>
          <w:rFonts w:hint="eastAsia" w:ascii="仿宋" w:hAnsi="仿宋" w:eastAsia="仿宋"/>
          <w:snapToGrid w:val="0"/>
          <w:sz w:val="28"/>
          <w:szCs w:val="28"/>
        </w:rPr>
        <w:t>定标</w:t>
      </w:r>
      <w:bookmarkEnd w:id="132"/>
      <w:bookmarkStart w:id="133" w:name="_Toc513029238"/>
      <w:bookmarkStart w:id="134" w:name="_Toc20823310"/>
      <w:bookmarkStart w:id="135" w:name="_Toc16938554"/>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w:t>
      </w:r>
      <w:bookmarkEnd w:id="133"/>
      <w:r>
        <w:rPr>
          <w:rFonts w:hint="eastAsia" w:ascii="仿宋" w:hAnsi="仿宋" w:eastAsia="仿宋"/>
          <w:snapToGrid w:val="0"/>
          <w:sz w:val="28"/>
          <w:szCs w:val="28"/>
        </w:rPr>
        <w:t>确定</w:t>
      </w:r>
      <w:bookmarkEnd w:id="134"/>
      <w:bookmarkEnd w:id="135"/>
      <w:r>
        <w:rPr>
          <w:rFonts w:hint="eastAsia" w:ascii="仿宋" w:hAnsi="仿宋" w:eastAsia="仿宋"/>
          <w:snapToGrid w:val="0"/>
          <w:sz w:val="28"/>
          <w:szCs w:val="28"/>
        </w:rPr>
        <w:t>中标单位</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29.1评委会根据本招标文件规定评分办法与评分标准向采购人推荐出1名中标候选人，或者直接评出中标人。</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29.2如评委会推荐的是中标候选人，采购人应根据规定从中确定中标人。</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29.3招标代理机构将在“南通市政府采购网”等指定媒体发布成交结果公告，公告期限为3个工作日。</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w:t>
      </w:r>
      <w:bookmarkStart w:id="136" w:name="_Toc200451960"/>
      <w:r>
        <w:rPr>
          <w:rFonts w:hint="eastAsia" w:ascii="仿宋" w:hAnsi="仿宋" w:eastAsia="仿宋"/>
          <w:snapToGrid w:val="0"/>
          <w:sz w:val="28"/>
          <w:szCs w:val="28"/>
        </w:rPr>
        <w:t xml:space="preserve"> 若有充分证据证明，中标人出现下列情况之一的，一经查实，将被取消中标资格：</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29.4.1提供虚假材料谋取中标的。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29.4.2向采购人、采购代理机构行贿或者提供其他不正当利益的。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29.4.3恶意竞争，投标总报价明显低于其自身合理成本且又无法提供证明的。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29.4.4属于本文件规定的无效条件，但在评标过程中又未被评委会发现的。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29.4.5与采购人或者其他供应商恶意串通的。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29.4.6采取不正当手段诋毁、排挤其他供应商的。</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 有下列情形之一的，视为投标人串通投标，投标无效：</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29.5.1不同投标人的投标文件由同一单位或者个人编制。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29.5.2不同投标人委托同一单位或者个人办理投标事宜。</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29.5.3 不同投标人的投标文件载明的项目管理成员或者联系人员为同一人。</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29.5.4不同投标人的投标文件异常一致或者投标报价呈规律性差异。</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29.5.5不同投标人的投标文件相互混装。</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29.5.6不同投标人的投标保证金从同一单位或者个人的账户转出。</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30、质疑处理</w:t>
      </w:r>
      <w:bookmarkEnd w:id="136"/>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30.1 提出质疑的供应商应当是参与所质疑项目采购活动的供应商。潜在供应商依法获取其可质疑的采购文件的，可以对采购文件提出质疑。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30.2供应商认为采购文件、采购过程和采购结果使自己的权益受到损害的，可以在知道或应知其权益受到损害之日起七个工作日内，以书面形式向招标代理机构或采购人提出质疑。上述应知其权益受到损害之日，是指：</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 30.2.1对可以质疑的采购文件提出质疑的，为收到采购文件之日或者采购文件公告期限届满之日；</w:t>
      </w:r>
      <w:r>
        <w:rPr>
          <w:rFonts w:hint="eastAsia" w:ascii="仿宋" w:hAnsi="仿宋" w:eastAsia="仿宋"/>
          <w:snapToGrid w:val="0"/>
          <w:sz w:val="28"/>
          <w:szCs w:val="28"/>
        </w:rPr>
        <w:br w:type="textWrapping"/>
      </w:r>
      <w:r>
        <w:rPr>
          <w:rFonts w:hint="eastAsia" w:ascii="仿宋" w:hAnsi="仿宋" w:eastAsia="仿宋"/>
          <w:snapToGrid w:val="0"/>
          <w:sz w:val="28"/>
          <w:szCs w:val="28"/>
        </w:rPr>
        <w:t>　　30.2.2对采购过程提出质疑的，为各采购程序环节结束之日；</w:t>
      </w:r>
      <w:r>
        <w:rPr>
          <w:rFonts w:hint="eastAsia" w:ascii="仿宋" w:hAnsi="仿宋" w:eastAsia="仿宋"/>
          <w:snapToGrid w:val="0"/>
          <w:sz w:val="28"/>
          <w:szCs w:val="28"/>
        </w:rPr>
        <w:br w:type="textWrapping"/>
      </w:r>
      <w:r>
        <w:rPr>
          <w:rFonts w:hint="eastAsia" w:ascii="仿宋" w:hAnsi="仿宋" w:eastAsia="仿宋"/>
          <w:snapToGrid w:val="0"/>
          <w:sz w:val="28"/>
          <w:szCs w:val="28"/>
        </w:rPr>
        <w:t>　　30.2.3对中标或者成交结果提出质疑的，为中标或者成交结果公告期限届满之日。</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供应商应当在法定质疑期内一次性提出针对同一采购程序环节的质疑。供应商如在法定期限内对同一采购程序环节提出多次质疑的，采购中心将只对供应商第一次质疑作出答复。</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30.3质疑函必须按照本招标文件中《质疑函范本》要求的格式和内容进行填写。</w:t>
      </w:r>
    </w:p>
    <w:p>
      <w:pPr>
        <w:tabs>
          <w:tab w:val="left" w:pos="900"/>
        </w:tabs>
        <w:spacing w:line="566" w:lineRule="exact"/>
        <w:ind w:firstLine="560" w:firstLineChars="200"/>
        <w:rPr>
          <w:rFonts w:ascii="仿宋" w:hAnsi="仿宋" w:eastAsia="仿宋"/>
          <w:snapToGrid w:val="0"/>
          <w:sz w:val="28"/>
          <w:szCs w:val="28"/>
          <w:shd w:val="clear" w:color="auto" w:fill="FFFF00"/>
        </w:rPr>
      </w:pPr>
      <w:r>
        <w:rPr>
          <w:rFonts w:hint="eastAsia" w:ascii="仿宋" w:hAnsi="仿宋" w:eastAsia="仿宋"/>
          <w:snapToGrid w:val="0"/>
          <w:sz w:val="28"/>
          <w:szCs w:val="28"/>
        </w:rPr>
        <w:t>30.4 对项目需求部分质疑（包括询问）请向采购人提出，由采购人负责答复。联系地址、联系电话见公告。</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对其余方面质疑可向招标代理机构提出。招标代理机构只接收以纸质原件形式送达的质疑。招标代理机构质疑接收联系地址：南通市港闸区江海大道488号金贸国际2501（江苏宏信工程咨询有限公司），联系电话：0513-55083979。</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30.5 以下情形的质疑不予受理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30.5.1 内容不符合《政府采购质疑和投诉办法》第十二条规定的质疑。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30.5.2 超出政府采购法定期限的质疑。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30.5.3 以传真、电子邮件等方式递交的非原件形式的质疑。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30.5.4 未参加投标活动的供应商或在投标活动中自身权益未受到损害的供应商所提出的质疑。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30.6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31、成交结果通知书</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31.l 成交结果确定后，招标代理机构将向成交供应商、采购人发出成交结果通知书。</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31.2 成交供应商法定代表人或授权代表（投标文件中所确定的）须到招标代理机构现场签收成交结果通知书。若不到招标代理机构现场签收成交结果通知书，则公告后视同中标人已经知悉并同意接受。</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31.3成交结果通知书将是合同的一个组成部分。对采购人和成交供应商均具有法律效力。成交结果通知书发出后，采购人改变中标结果的，或者成交供应商放弃中标项目的，应当依法承担法律责任。</w:t>
      </w:r>
    </w:p>
    <w:p>
      <w:pPr>
        <w:tabs>
          <w:tab w:val="left" w:pos="900"/>
        </w:tabs>
        <w:spacing w:line="566" w:lineRule="exact"/>
        <w:ind w:firstLine="560" w:firstLineChars="200"/>
        <w:rPr>
          <w:rFonts w:ascii="仿宋" w:hAnsi="仿宋" w:eastAsia="仿宋"/>
          <w:snapToGrid w:val="0"/>
          <w:sz w:val="28"/>
          <w:szCs w:val="28"/>
        </w:rPr>
      </w:pPr>
      <w:bookmarkStart w:id="137" w:name="_Toc120614220"/>
      <w:bookmarkStart w:id="138" w:name="_Toc16938552"/>
      <w:bookmarkStart w:id="139" w:name="_Toc20823308"/>
      <w:bookmarkStart w:id="140" w:name="_Toc513029236"/>
      <w:r>
        <w:rPr>
          <w:rFonts w:hint="eastAsia" w:ascii="仿宋" w:hAnsi="仿宋" w:eastAsia="仿宋"/>
          <w:snapToGrid w:val="0"/>
          <w:sz w:val="28"/>
          <w:szCs w:val="28"/>
        </w:rPr>
        <w:t>七、</w:t>
      </w:r>
      <w:bookmarkEnd w:id="137"/>
      <w:r>
        <w:rPr>
          <w:rFonts w:hint="eastAsia" w:ascii="仿宋" w:hAnsi="仿宋" w:eastAsia="仿宋"/>
          <w:snapToGrid w:val="0"/>
          <w:sz w:val="28"/>
          <w:szCs w:val="28"/>
        </w:rPr>
        <w:t>授予合同</w:t>
      </w:r>
    </w:p>
    <w:bookmarkEnd w:id="138"/>
    <w:bookmarkEnd w:id="139"/>
    <w:bookmarkEnd w:id="140"/>
    <w:p>
      <w:pPr>
        <w:tabs>
          <w:tab w:val="left" w:pos="900"/>
        </w:tabs>
        <w:spacing w:line="566" w:lineRule="exact"/>
        <w:ind w:firstLine="560" w:firstLineChars="200"/>
        <w:rPr>
          <w:rFonts w:ascii="仿宋" w:hAnsi="仿宋" w:eastAsia="仿宋"/>
          <w:snapToGrid w:val="0"/>
          <w:sz w:val="28"/>
          <w:szCs w:val="28"/>
        </w:rPr>
      </w:pPr>
      <w:bookmarkStart w:id="141" w:name="_Toc513029237"/>
      <w:bookmarkStart w:id="142" w:name="_Toc16938553"/>
      <w:bookmarkStart w:id="143" w:name="_Toc20823309"/>
      <w:r>
        <w:rPr>
          <w:rFonts w:hint="eastAsia" w:ascii="仿宋" w:hAnsi="仿宋" w:eastAsia="仿宋"/>
          <w:snapToGrid w:val="0"/>
          <w:sz w:val="28"/>
          <w:szCs w:val="28"/>
        </w:rPr>
        <w:t>32. 签订合同</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32.l中标人应按成交通知书规定的时间、地点,按照招标文件确定的事项与采购人签订政府采购合同，且不得迟于成交通知书发出之日起三十日内，否则履约保证金将不予退还，由此给采购人造成损失的，中标人还应承担赔偿责任。</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32.2 招标文件、中标人的投标文件及招标过程中有关澄清、承诺文件均应作为合同附件。</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32.3 签订合同后，中标人不得将货物、服务及其他相关服务进行转包。未经采购人同意，中标人也不得采用分包的形式履行合同，否则采购人有权终止合同，中标人的履约保证金将不予退还。转包或分包造成采购人损失的，中标人应承担相应赔偿责任。</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33、货物和服务的追加、减少和添购。</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33.1政府采购合同履行中，采购人需追加与合同标的相同的货物和服务的，在不改变合同其他条款的前提下，报主管预算单位同意后，可以与中标人协商签订补充合同，但所有补充合同的采购金额不超过原合同金额10%。</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33.2采购结束后，采购人若由于各种客观原因，必须对采购项目所牵涉的货物、和服务进行适当的减少时，报主管预算单位同意后，在双方协商一致的前提下，可以按照招标采购时的价格水平做相应的调减，并据此签订补充合同。</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34、履约保证金</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34.1中标人在收到成交结果通知书后三日内提交履约保证金（履约保证金为成交金额10%）。履约保证金用以约束供应商在合同履行中的行为，弥补合同执行中由于自身行为可能给采购人带来的各种损失。如果中标人不同意按照规定去做，采购人有权取消本次采购中标决定，其投标保证金不予退还。</w:t>
      </w:r>
      <w:bookmarkStart w:id="144" w:name="_Toc200451963"/>
    </w:p>
    <w:bookmarkEnd w:id="144"/>
    <w:p>
      <w:pPr>
        <w:tabs>
          <w:tab w:val="left" w:pos="900"/>
        </w:tabs>
        <w:spacing w:line="566" w:lineRule="exact"/>
        <w:ind w:firstLine="560" w:firstLineChars="200"/>
        <w:rPr>
          <w:rFonts w:ascii="仿宋" w:hAnsi="仿宋" w:eastAsia="仿宋"/>
          <w:snapToGrid w:val="0"/>
          <w:sz w:val="28"/>
          <w:szCs w:val="28"/>
          <w:shd w:val="clear" w:color="auto" w:fill="FFFF00"/>
        </w:rPr>
      </w:pPr>
      <w:r>
        <w:rPr>
          <w:rFonts w:hint="eastAsia" w:ascii="仿宋" w:hAnsi="仿宋" w:eastAsia="仿宋"/>
          <w:snapToGrid w:val="0"/>
          <w:sz w:val="28"/>
          <w:szCs w:val="28"/>
        </w:rPr>
        <w:t>34.2履约保证金的退还：合同履行结束后一周内，中标人凭采购人签署的同意退还履约保证金的证明（无息，因中标人原因导致合同不能在规定时间内签订或导致需重新认价的，保证金不予返还），前往采购单位办理保证金退还手续。</w:t>
      </w:r>
    </w:p>
    <w:bookmarkEnd w:id="141"/>
    <w:bookmarkEnd w:id="142"/>
    <w:bookmarkEnd w:id="143"/>
    <w:p>
      <w:pPr>
        <w:pStyle w:val="5"/>
        <w:spacing w:line="566" w:lineRule="exact"/>
        <w:ind w:firstLine="0"/>
        <w:rPr>
          <w:rFonts w:eastAsia="方正仿宋_GBK"/>
          <w:bCs/>
          <w:sz w:val="32"/>
          <w:szCs w:val="32"/>
        </w:rPr>
      </w:pPr>
      <w:bookmarkStart w:id="145" w:name="_Toc16938558"/>
      <w:bookmarkStart w:id="146" w:name="_Toc20823314"/>
      <w:bookmarkStart w:id="147" w:name="_Toc513029242"/>
      <w:bookmarkStart w:id="148" w:name="_Toc120614221"/>
      <w:bookmarkStart w:id="149" w:name="_Toc479757207"/>
    </w:p>
    <w:p>
      <w:pPr>
        <w:widowControl/>
        <w:jc w:val="left"/>
        <w:rPr>
          <w:rFonts w:ascii="宋体" w:hAnsi="宋体" w:cs="宋体"/>
          <w:sz w:val="44"/>
          <w:szCs w:val="44"/>
        </w:rPr>
      </w:pPr>
      <w:r>
        <w:rPr>
          <w:rFonts w:ascii="宋体" w:hAnsi="宋体" w:cs="宋体"/>
          <w:sz w:val="44"/>
          <w:szCs w:val="44"/>
        </w:rPr>
        <w:br w:type="page"/>
      </w:r>
    </w:p>
    <w:p>
      <w:pPr>
        <w:pStyle w:val="3"/>
        <w:rPr>
          <w:rFonts w:ascii="宋体" w:hAnsi="宋体" w:eastAsia="宋体" w:cs="宋体"/>
          <w:sz w:val="44"/>
          <w:szCs w:val="44"/>
        </w:rPr>
      </w:pPr>
      <w:r>
        <w:rPr>
          <w:rFonts w:hint="eastAsia" w:ascii="宋体" w:hAnsi="宋体" w:eastAsia="宋体" w:cs="宋体"/>
          <w:sz w:val="44"/>
          <w:szCs w:val="44"/>
        </w:rPr>
        <w:t>第三章  合同条款及</w:t>
      </w:r>
      <w:bookmarkEnd w:id="145"/>
      <w:bookmarkEnd w:id="146"/>
      <w:bookmarkEnd w:id="147"/>
      <w:bookmarkEnd w:id="148"/>
      <w:bookmarkEnd w:id="149"/>
      <w:r>
        <w:rPr>
          <w:rFonts w:hint="eastAsia" w:ascii="宋体" w:hAnsi="宋体" w:eastAsia="宋体" w:cs="宋体"/>
          <w:sz w:val="44"/>
          <w:szCs w:val="44"/>
        </w:rPr>
        <w:t>格式</w:t>
      </w:r>
    </w:p>
    <w:p/>
    <w:p>
      <w:pPr>
        <w:tabs>
          <w:tab w:val="left" w:pos="900"/>
        </w:tabs>
        <w:spacing w:line="566" w:lineRule="exact"/>
        <w:ind w:firstLine="560" w:firstLineChars="200"/>
        <w:rPr>
          <w:rFonts w:ascii="仿宋" w:hAnsi="仿宋" w:eastAsia="仿宋"/>
          <w:snapToGrid w:val="0"/>
          <w:sz w:val="28"/>
          <w:szCs w:val="28"/>
        </w:rPr>
      </w:pPr>
      <w:bookmarkStart w:id="150" w:name="_Toc513029243"/>
      <w:bookmarkStart w:id="151" w:name="_Toc16938559"/>
      <w:bookmarkStart w:id="152" w:name="_Toc20823315"/>
      <w:r>
        <w:rPr>
          <w:rFonts w:hint="eastAsia" w:ascii="仿宋" w:hAnsi="仿宋" w:eastAsia="仿宋"/>
          <w:snapToGrid w:val="0"/>
          <w:sz w:val="28"/>
          <w:szCs w:val="28"/>
        </w:rPr>
        <w:t>以下为中标后签订本项目合同的通用条款，中标人不得提出实质性的修改，关于专用条款将由采购人与中标人结合本项目具体情况协商后签订。</w:t>
      </w:r>
    </w:p>
    <w:p>
      <w:pPr>
        <w:shd w:val="solid" w:color="FFFFFF" w:fill="auto"/>
        <w:autoSpaceDN w:val="0"/>
        <w:spacing w:line="500" w:lineRule="exact"/>
        <w:ind w:firstLine="562" w:firstLineChars="200"/>
        <w:jc w:val="center"/>
        <w:rPr>
          <w:rFonts w:ascii="宋体" w:hAnsi="宋体"/>
          <w:b/>
          <w:bCs/>
          <w:color w:val="333333"/>
          <w:sz w:val="28"/>
          <w:szCs w:val="28"/>
          <w:shd w:val="clear" w:color="auto" w:fill="FFFFFF"/>
        </w:rPr>
      </w:pPr>
      <w:r>
        <w:rPr>
          <w:rFonts w:hint="eastAsia" w:ascii="宋体" w:hAnsi="宋体"/>
          <w:b/>
          <w:bCs/>
          <w:color w:val="333333"/>
          <w:sz w:val="28"/>
          <w:szCs w:val="28"/>
          <w:shd w:val="clear" w:color="auto" w:fill="FFFFFF"/>
        </w:rPr>
        <w:t>政府采购合同（货物、服务）（合同编号）</w:t>
      </w:r>
    </w:p>
    <w:bookmarkEnd w:id="150"/>
    <w:bookmarkEnd w:id="151"/>
    <w:bookmarkEnd w:id="152"/>
    <w:p>
      <w:pPr>
        <w:tabs>
          <w:tab w:val="left" w:pos="900"/>
        </w:tabs>
        <w:spacing w:line="566" w:lineRule="exact"/>
        <w:ind w:firstLine="560" w:firstLineChars="200"/>
        <w:rPr>
          <w:rFonts w:ascii="仿宋" w:hAnsi="仿宋" w:eastAsia="仿宋"/>
          <w:snapToGrid w:val="0"/>
          <w:sz w:val="28"/>
          <w:szCs w:val="28"/>
        </w:rPr>
      </w:pPr>
      <w:bookmarkStart w:id="153" w:name="_Hlt16619369"/>
      <w:bookmarkEnd w:id="153"/>
      <w:bookmarkStart w:id="154" w:name="_Hlt16619350"/>
      <w:bookmarkStart w:id="155" w:name="_Toc16938590"/>
      <w:bookmarkStart w:id="156" w:name="_Toc120614244"/>
      <w:bookmarkStart w:id="157" w:name="_Toc20823346"/>
      <w:bookmarkStart w:id="158" w:name="_Toc479757211"/>
      <w:bookmarkStart w:id="159" w:name="_Toc462564139"/>
      <w:r>
        <w:rPr>
          <w:rFonts w:hint="eastAsia" w:ascii="仿宋" w:hAnsi="仿宋" w:eastAsia="仿宋"/>
          <w:snapToGrid w:val="0"/>
          <w:sz w:val="28"/>
          <w:szCs w:val="28"/>
        </w:rPr>
        <w:t xml:space="preserve">采购人（甲方）：南通市发展和改革委员会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供货人（乙方）： </w:t>
      </w:r>
    </w:p>
    <w:p>
      <w:pPr>
        <w:tabs>
          <w:tab w:val="left" w:pos="900"/>
        </w:tabs>
        <w:spacing w:line="566" w:lineRule="exact"/>
        <w:ind w:firstLine="560" w:firstLineChars="200"/>
        <w:rPr>
          <w:rFonts w:ascii="仿宋" w:hAnsi="仿宋" w:eastAsia="仿宋"/>
          <w:snapToGrid w:val="0"/>
          <w:sz w:val="28"/>
          <w:szCs w:val="28"/>
          <w:u w:val="single"/>
        </w:rPr>
      </w:pPr>
      <w:r>
        <w:rPr>
          <w:rFonts w:hint="eastAsia" w:ascii="仿宋" w:hAnsi="仿宋" w:eastAsia="仿宋"/>
          <w:snapToGrid w:val="0"/>
          <w:sz w:val="28"/>
          <w:szCs w:val="28"/>
        </w:rPr>
        <w:t>签订地点：</w:t>
      </w:r>
    </w:p>
    <w:p>
      <w:pPr>
        <w:tabs>
          <w:tab w:val="left" w:pos="900"/>
        </w:tabs>
        <w:spacing w:line="566" w:lineRule="exact"/>
        <w:ind w:firstLine="560" w:firstLineChars="200"/>
        <w:rPr>
          <w:rFonts w:ascii="仿宋" w:hAnsi="仿宋" w:eastAsia="仿宋"/>
          <w:snapToGrid w:val="0"/>
          <w:sz w:val="28"/>
          <w:szCs w:val="28"/>
          <w:u w:val="single"/>
        </w:rPr>
      </w:pPr>
      <w:r>
        <w:rPr>
          <w:rFonts w:hint="eastAsia" w:ascii="仿宋" w:hAnsi="仿宋" w:eastAsia="仿宋"/>
          <w:snapToGrid w:val="0"/>
          <w:sz w:val="28"/>
          <w:szCs w:val="28"/>
        </w:rPr>
        <w:t>项目名称：</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项目编号：</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本项目经批准采用采购方式，经本项目评审委员会认真评审，决定将采购合同授予乙方，为进一步明确双方的责任，确保合同顺利履行，根据《中华人民共和国合同法》之规定，经甲乙双方充分协商，特订立本合同，以便共同遵守。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第一条 产品的名称、规格、数量和价格 </w:t>
      </w:r>
    </w:p>
    <w:tbl>
      <w:tblPr>
        <w:tblStyle w:val="37"/>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6"/>
        <w:gridCol w:w="1216"/>
        <w:gridCol w:w="1216"/>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产品名称</w:t>
            </w:r>
          </w:p>
        </w:tc>
        <w:tc>
          <w:tcPr>
            <w:tcW w:w="1216"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规格型号</w:t>
            </w:r>
          </w:p>
        </w:tc>
        <w:tc>
          <w:tcPr>
            <w:tcW w:w="1216"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单位</w:t>
            </w:r>
          </w:p>
        </w:tc>
        <w:tc>
          <w:tcPr>
            <w:tcW w:w="1216"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 xml:space="preserve">数量 </w:t>
            </w:r>
          </w:p>
        </w:tc>
        <w:tc>
          <w:tcPr>
            <w:tcW w:w="1217"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单价</w:t>
            </w:r>
          </w:p>
        </w:tc>
        <w:tc>
          <w:tcPr>
            <w:tcW w:w="1217"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小计</w:t>
            </w:r>
          </w:p>
        </w:tc>
        <w:tc>
          <w:tcPr>
            <w:tcW w:w="1217"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6"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c>
          <w:tcPr>
            <w:tcW w:w="1217" w:type="dxa"/>
          </w:tcPr>
          <w:p>
            <w:pPr>
              <w:tabs>
                <w:tab w:val="left" w:pos="900"/>
              </w:tabs>
              <w:spacing w:line="566" w:lineRule="exact"/>
              <w:rPr>
                <w:rFonts w:ascii="仿宋" w:hAnsi="仿宋" w:eastAsia="仿宋"/>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总合计</w:t>
            </w:r>
          </w:p>
        </w:tc>
        <w:tc>
          <w:tcPr>
            <w:tcW w:w="7299" w:type="dxa"/>
            <w:gridSpan w:val="6"/>
          </w:tcPr>
          <w:p>
            <w:pPr>
              <w:tabs>
                <w:tab w:val="left" w:pos="900"/>
              </w:tabs>
              <w:spacing w:line="566" w:lineRule="exact"/>
              <w:rPr>
                <w:rFonts w:ascii="仿宋" w:hAnsi="仿宋" w:eastAsia="仿宋"/>
                <w:snapToGrid w:val="0"/>
                <w:sz w:val="28"/>
                <w:szCs w:val="28"/>
              </w:rPr>
            </w:pPr>
            <w:r>
              <w:rPr>
                <w:rFonts w:hint="eastAsia" w:ascii="仿宋" w:hAnsi="仿宋" w:eastAsia="仿宋"/>
                <w:snapToGrid w:val="0"/>
                <w:sz w:val="28"/>
                <w:szCs w:val="28"/>
              </w:rPr>
              <w:t>大写： 小写：</w:t>
            </w:r>
          </w:p>
        </w:tc>
      </w:tr>
    </w:tbl>
    <w:p>
      <w:pPr>
        <w:tabs>
          <w:tab w:val="left" w:pos="900"/>
        </w:tabs>
        <w:spacing w:line="566" w:lineRule="exact"/>
        <w:ind w:firstLine="560" w:firstLineChars="200"/>
        <w:rPr>
          <w:rFonts w:ascii="仿宋" w:hAnsi="仿宋" w:eastAsia="仿宋"/>
          <w:snapToGrid w:val="0"/>
          <w:sz w:val="28"/>
          <w:szCs w:val="28"/>
        </w:rPr>
      </w:pP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第二条 产品的技术标准（包括质量要求）；按下列第（ ）项执行：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（1）按国家标准执行；（2） 按部颁标准执行；（3）若无以上标准，则应不低于同行业质量标准；（4）有特殊要求的，按甲乙双方在合同中商定的技术条件、样品或补充的技术要求执行；乙方提供的和交付的货物技术标准应与招标文件规定的技术标准相一致。若技术标准无相应规定，所投货物应符合相应的国际标准或原产地国家有关部门最新颁布的正式标准。</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lang w:val="zh-CN"/>
        </w:rPr>
        <w:t>按采购人要求，部分指定种类产品必须采购</w:t>
      </w:r>
      <w:r>
        <w:rPr>
          <w:rFonts w:hint="eastAsia" w:ascii="仿宋" w:hAnsi="仿宋" w:eastAsia="仿宋"/>
          <w:b/>
          <w:bCs/>
          <w:snapToGrid w:val="0"/>
          <w:sz w:val="28"/>
          <w:szCs w:val="28"/>
          <w:u w:val="single"/>
          <w:lang w:val="zh-CN"/>
        </w:rPr>
        <w:t>民政部救灾司《自然灾害应急救助物资生产商参考名录（201</w:t>
      </w:r>
      <w:r>
        <w:rPr>
          <w:rFonts w:hint="eastAsia" w:ascii="仿宋" w:hAnsi="仿宋" w:eastAsia="仿宋"/>
          <w:b/>
          <w:bCs/>
          <w:snapToGrid w:val="0"/>
          <w:sz w:val="28"/>
          <w:szCs w:val="28"/>
          <w:u w:val="single"/>
        </w:rPr>
        <w:t>8</w:t>
      </w:r>
      <w:r>
        <w:rPr>
          <w:rFonts w:hint="eastAsia" w:ascii="仿宋" w:hAnsi="仿宋" w:eastAsia="仿宋"/>
          <w:b/>
          <w:bCs/>
          <w:snapToGrid w:val="0"/>
          <w:sz w:val="28"/>
          <w:szCs w:val="28"/>
          <w:u w:val="single"/>
          <w:lang w:val="zh-CN"/>
        </w:rPr>
        <w:t>版）》内的生产企业生产的产品</w:t>
      </w:r>
      <w:r>
        <w:rPr>
          <w:rFonts w:hint="eastAsia" w:ascii="仿宋" w:hAnsi="仿宋" w:eastAsia="仿宋"/>
          <w:snapToGrid w:val="0"/>
          <w:sz w:val="28"/>
          <w:szCs w:val="28"/>
          <w:lang w:val="zh-CN"/>
        </w:rPr>
        <w:t>；</w:t>
      </w:r>
      <w:r>
        <w:rPr>
          <w:rFonts w:hint="eastAsia" w:ascii="仿宋" w:hAnsi="仿宋" w:eastAsia="仿宋"/>
          <w:snapToGrid w:val="0"/>
          <w:sz w:val="28"/>
          <w:szCs w:val="28"/>
        </w:rPr>
        <w:t>产品必须是</w:t>
      </w:r>
      <w:r>
        <w:rPr>
          <w:rFonts w:hint="eastAsia" w:ascii="仿宋" w:hAnsi="仿宋" w:eastAsia="仿宋"/>
          <w:snapToGrid w:val="0"/>
          <w:sz w:val="28"/>
          <w:szCs w:val="28"/>
          <w:lang w:val="zh-CN"/>
        </w:rPr>
        <w:t>全新、未使用过的原装合格正品，完全符合采购文件规定的质量、规格和性能的要求，达到国家或行业规定的标准，实行生产许可证制度的，应提供生产许可证；属于国家强制认证的产品，必须通过认证。</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第三条 产品的交货方法、到货地点和交货期限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1、交货方法，按下列第</w:t>
      </w:r>
      <w:r>
        <w:rPr>
          <w:rFonts w:hint="eastAsia" w:ascii="仿宋" w:hAnsi="仿宋" w:eastAsia="仿宋"/>
          <w:snapToGrid w:val="0"/>
          <w:sz w:val="28"/>
          <w:szCs w:val="28"/>
          <w:u w:val="single"/>
        </w:rPr>
        <w:t>（ 1 ）</w:t>
      </w:r>
      <w:r>
        <w:rPr>
          <w:rFonts w:hint="eastAsia" w:ascii="仿宋" w:hAnsi="仿宋" w:eastAsia="仿宋"/>
          <w:snapToGrid w:val="0"/>
          <w:sz w:val="28"/>
          <w:szCs w:val="28"/>
        </w:rPr>
        <w:t xml:space="preserve">项执行：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（1）乙方送货上门；（2）乙方代运；（3）甲方自提自运。 </w:t>
      </w:r>
    </w:p>
    <w:p>
      <w:pPr>
        <w:tabs>
          <w:tab w:val="left" w:pos="900"/>
        </w:tabs>
        <w:spacing w:line="566" w:lineRule="exact"/>
        <w:ind w:firstLine="560" w:firstLineChars="200"/>
        <w:rPr>
          <w:rFonts w:ascii="仿宋" w:hAnsi="仿宋" w:eastAsia="仿宋"/>
          <w:snapToGrid w:val="0"/>
          <w:sz w:val="28"/>
          <w:szCs w:val="28"/>
          <w:u w:val="single"/>
        </w:rPr>
      </w:pPr>
      <w:r>
        <w:rPr>
          <w:rFonts w:hint="eastAsia" w:ascii="仿宋" w:hAnsi="仿宋" w:eastAsia="仿宋"/>
          <w:snapToGrid w:val="0"/>
          <w:sz w:val="28"/>
          <w:szCs w:val="28"/>
        </w:rPr>
        <w:t>2、到货地点：</w:t>
      </w:r>
      <w:r>
        <w:rPr>
          <w:rFonts w:hint="eastAsia" w:ascii="仿宋" w:hAnsi="仿宋" w:eastAsia="仿宋"/>
          <w:snapToGrid w:val="0"/>
          <w:sz w:val="28"/>
          <w:szCs w:val="28"/>
          <w:u w:val="single"/>
        </w:rPr>
        <w:t xml:space="preserve">   详见本合同第八条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3、产品交货期限：</w:t>
      </w:r>
      <w:r>
        <w:rPr>
          <w:rFonts w:hint="eastAsia" w:ascii="仿宋" w:hAnsi="仿宋" w:eastAsia="仿宋"/>
          <w:snapToGrid w:val="0"/>
          <w:sz w:val="28"/>
          <w:szCs w:val="28"/>
          <w:u w:val="single"/>
        </w:rPr>
        <w:t xml:space="preserve">详见本合同第八条供货期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第四条 合同总价款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合同价格按此次成交价格执行，合同总金额为人民币，报价包含货物的成本、利润、税金、市场材料价格风险费、政策性调整风险费等的所有费用；货物包装、运输、保险、装卸、搬运费、保管费；技术资料、损耗、人工费、机械费、检测费、管理费、利润；国家税务部门规定的各项税金；原材料的涨价及政策性调整等风险费；相关伴随服务以及一年保质期、售后服务等一切费用；即本项目采购的货物交付使用前的所有费用以及免费质保期内的服务费用等包含响应磋商文件采购要求的所有费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一次报定的报价为成交价。成交供应商的固定综合单价在合同实施期间不因市场变化因素而变动。</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 xml:space="preserve">第五条 付款方式：本合同以人民币付款 </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乙方提供货物全部到达，验收质量、数量等全部达标后付至合同总价款的 90%，余款（合同价款10%）待质保期六个月满无质量问题一个月内付清余款。</w:t>
      </w:r>
    </w:p>
    <w:p>
      <w:pPr>
        <w:tabs>
          <w:tab w:val="left" w:pos="900"/>
        </w:tabs>
        <w:spacing w:line="566" w:lineRule="exact"/>
        <w:ind w:firstLine="560" w:firstLineChars="200"/>
        <w:rPr>
          <w:rFonts w:ascii="仿宋" w:hAnsi="仿宋" w:eastAsia="仿宋"/>
          <w:snapToGrid w:val="0"/>
          <w:sz w:val="28"/>
          <w:szCs w:val="28"/>
        </w:rPr>
      </w:pPr>
      <w:r>
        <w:rPr>
          <w:rFonts w:hint="eastAsia" w:ascii="仿宋" w:hAnsi="仿宋" w:eastAsia="仿宋"/>
          <w:snapToGrid w:val="0"/>
          <w:sz w:val="28"/>
          <w:szCs w:val="28"/>
        </w:rPr>
        <w:t>款项由采购单位按相关财务支付规定办理支付手续。每次付款供货商均需提供正规发票和《供货单》，以上付款均不计利息。</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第六条 质量保证</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1、乙方应保证货物是全新、未使用过的原厂合格产品，并完全符合招标文件及本合同规定的质量、规格和性能参数的要求。验收过程中若发现不合格产品使用方有权终止合同，造成的一切损失由供应商承担。</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3、供应商应保证提供的产品不得侵犯第三方专利权、商标权和设计权、版权等。否则，供应商应负全部责任，并承担由此引起的一切后果。</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4、供应商应保证其货物在正确、正常使用下，在其使用寿命期内应具有满意的性能。</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5、供应商应采取必要的安全措施保证货物的运输的安全，并承担货物的运输过程中产生的风险。</w:t>
      </w:r>
    </w:p>
    <w:p>
      <w:pPr>
        <w:shd w:val="solid" w:color="FFFFFF" w:fill="auto"/>
        <w:autoSpaceDN w:val="0"/>
        <w:spacing w:line="500" w:lineRule="exact"/>
        <w:ind w:firstLine="548" w:firstLineChars="196"/>
        <w:rPr>
          <w:rFonts w:ascii="仿宋" w:hAnsi="仿宋" w:eastAsia="仿宋"/>
          <w:snapToGrid w:val="0"/>
          <w:sz w:val="28"/>
          <w:szCs w:val="28"/>
        </w:rPr>
      </w:pPr>
      <w:r>
        <w:rPr>
          <w:rFonts w:hint="eastAsia" w:ascii="仿宋" w:hAnsi="仿宋" w:eastAsia="仿宋"/>
          <w:snapToGrid w:val="0"/>
          <w:sz w:val="28"/>
          <w:szCs w:val="28"/>
        </w:rPr>
        <w:t>6、供应商必须保证所提供的产品符合国家相应质量要求。</w:t>
      </w:r>
    </w:p>
    <w:p>
      <w:pPr>
        <w:shd w:val="solid" w:color="FFFFFF" w:fill="auto"/>
        <w:autoSpaceDN w:val="0"/>
        <w:spacing w:line="500" w:lineRule="exact"/>
        <w:ind w:firstLine="548" w:firstLineChars="196"/>
        <w:rPr>
          <w:rFonts w:ascii="仿宋" w:hAnsi="仿宋" w:eastAsia="仿宋" w:cs="仿宋"/>
          <w:bCs/>
          <w:color w:val="333333"/>
          <w:sz w:val="28"/>
          <w:szCs w:val="28"/>
          <w:shd w:val="clear" w:color="auto" w:fill="FFFFFF"/>
        </w:rPr>
      </w:pPr>
      <w:r>
        <w:rPr>
          <w:rFonts w:hint="eastAsia" w:ascii="仿宋" w:hAnsi="仿宋" w:eastAsia="仿宋" w:cs="仿宋"/>
          <w:snapToGrid w:val="0"/>
          <w:sz w:val="28"/>
          <w:szCs w:val="28"/>
        </w:rPr>
        <w:t xml:space="preserve">第七条 </w:t>
      </w:r>
      <w:r>
        <w:rPr>
          <w:rFonts w:hint="eastAsia" w:ascii="仿宋" w:hAnsi="仿宋" w:eastAsia="仿宋" w:cs="仿宋"/>
          <w:bCs/>
          <w:color w:val="333333"/>
          <w:sz w:val="28"/>
          <w:szCs w:val="28"/>
          <w:shd w:val="clear" w:color="auto" w:fill="FFFFFF"/>
        </w:rPr>
        <w:t>包装</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1、 对于定型包装产品要求所有产品为原厂原包装，需标识清楚、齐全，需标识有名称、规格、净含量、成分及配料表、生产厂家、生产日期、保质期限、生产许可证号、产品标准代码、贮藏条件、生产地址、联系方式等。</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2、供应商提供的全部货物，均应进行合理的外包装和装箱等，此包装方式应当足以保护所装货物不会在运输过程中损坏，并符合防潮、防震和防粗暴装卸，确保货物安全无损运抵现场。由于包装不善所引起的货物损坏和灭失均由供应商承担。</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3、外包装费用均由供应商承担。</w:t>
      </w:r>
    </w:p>
    <w:p>
      <w:pPr>
        <w:shd w:val="solid" w:color="FFFFFF" w:fill="auto"/>
        <w:autoSpaceDN w:val="0"/>
        <w:spacing w:line="500" w:lineRule="exact"/>
        <w:ind w:firstLine="548" w:firstLineChars="196"/>
        <w:rPr>
          <w:rFonts w:ascii="仿宋" w:hAnsi="仿宋" w:eastAsia="仿宋" w:cs="仿宋"/>
          <w:snapToGrid w:val="0"/>
          <w:sz w:val="28"/>
          <w:szCs w:val="28"/>
        </w:rPr>
      </w:pPr>
      <w:r>
        <w:rPr>
          <w:rFonts w:hint="eastAsia" w:ascii="仿宋" w:hAnsi="仿宋" w:eastAsia="仿宋" w:cs="仿宋"/>
          <w:snapToGrid w:val="0"/>
          <w:sz w:val="28"/>
          <w:szCs w:val="28"/>
        </w:rPr>
        <w:t>第八条 货物交付</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1、产品交付：</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① 交货地点：产品送至采购单位指定的地点</w:t>
      </w:r>
      <w:r>
        <w:rPr>
          <w:rFonts w:hint="eastAsia" w:ascii="仿宋" w:hAnsi="仿宋" w:eastAsia="仿宋" w:cs="仿宋"/>
          <w:b/>
          <w:color w:val="333333"/>
          <w:sz w:val="28"/>
          <w:szCs w:val="28"/>
          <w:u w:val="single"/>
          <w:shd w:val="clear" w:color="auto" w:fill="FFFFFF"/>
        </w:rPr>
        <w:t>南通市应急救灾中心5楼仓库指定地点（南通市观阳路119号）</w:t>
      </w:r>
      <w:r>
        <w:rPr>
          <w:rFonts w:hint="eastAsia" w:ascii="仿宋" w:hAnsi="仿宋" w:eastAsia="仿宋" w:cs="仿宋"/>
          <w:bCs/>
          <w:color w:val="333333"/>
          <w:sz w:val="28"/>
          <w:szCs w:val="28"/>
          <w:shd w:val="clear" w:color="auto" w:fill="FFFFFF"/>
        </w:rPr>
        <w:t>。</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② 供应商应在交货时向采购人提供《送货单》，采购人验货并在《送货单》上签字后，供需双方各执一份作为结算凭证。</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 xml:space="preserve">③ </w:t>
      </w:r>
      <w:r>
        <w:rPr>
          <w:rFonts w:hint="eastAsia" w:ascii="仿宋" w:hAnsi="仿宋" w:eastAsia="仿宋" w:cs="仿宋"/>
          <w:b/>
          <w:color w:val="333333"/>
          <w:sz w:val="28"/>
          <w:szCs w:val="28"/>
          <w:shd w:val="clear" w:color="auto" w:fill="FFFFFF"/>
        </w:rPr>
        <w:t>供货商除了提供《送货单》，还需提供生产企业出具的质量检测报告和质量保修单同时出具生产企业的供货书面声明（加盖公章）。</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④ 货物装卸、运输涉及到的保险，其费用包含在合同总价中。</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2、供货期：双方签订合同并生效之日起2个月内将所投产品运抵采购人指定地点。</w:t>
      </w:r>
    </w:p>
    <w:p>
      <w:pPr>
        <w:shd w:val="solid" w:color="FFFFFF" w:fill="auto"/>
        <w:autoSpaceDN w:val="0"/>
        <w:spacing w:line="500" w:lineRule="exact"/>
        <w:ind w:firstLine="560" w:firstLineChars="200"/>
        <w:rPr>
          <w:rFonts w:ascii="仿宋" w:hAnsi="仿宋" w:eastAsia="仿宋" w:cs="仿宋"/>
          <w:bCs/>
          <w:color w:val="333333"/>
          <w:sz w:val="28"/>
          <w:szCs w:val="28"/>
          <w:shd w:val="clear" w:color="auto" w:fill="FFFFFF"/>
        </w:rPr>
      </w:pPr>
      <w:r>
        <w:rPr>
          <w:rFonts w:hint="eastAsia" w:ascii="仿宋" w:hAnsi="仿宋" w:eastAsia="仿宋" w:cs="仿宋"/>
          <w:bCs/>
          <w:color w:val="333333"/>
          <w:sz w:val="28"/>
          <w:szCs w:val="28"/>
          <w:shd w:val="clear" w:color="auto" w:fill="FFFFFF"/>
        </w:rPr>
        <w:t>3、成交供应商发货到采购单位指定地点前应先告知采购单位。</w:t>
      </w:r>
    </w:p>
    <w:p>
      <w:pPr>
        <w:shd w:val="solid" w:color="FFFFFF" w:fill="auto"/>
        <w:autoSpaceDN w:val="0"/>
        <w:spacing w:line="500" w:lineRule="exact"/>
        <w:ind w:firstLine="560" w:firstLineChars="200"/>
        <w:rPr>
          <w:rFonts w:ascii="仿宋" w:hAnsi="仿宋" w:eastAsia="仿宋" w:cs="仿宋"/>
        </w:rPr>
      </w:pPr>
      <w:r>
        <w:rPr>
          <w:rFonts w:hint="eastAsia" w:ascii="仿宋" w:hAnsi="仿宋" w:eastAsia="仿宋" w:cs="仿宋"/>
          <w:bCs/>
          <w:color w:val="333333"/>
          <w:sz w:val="28"/>
          <w:szCs w:val="28"/>
          <w:shd w:val="clear" w:color="auto" w:fill="FFFFFF"/>
        </w:rPr>
        <w:t>4、全部货物的外包装必须采用防漏、防潮、防震、防锈、防盗和考虑到可能会发生的野蛮装卸等长途运输及多次装卸之需要。如因供方包装不当以及其它原因造成损坏或丢失，应由供方负一切责任。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第九条  伴随服务</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1、乙方除应履行按期按量交付合格标的物的义务外，还应当提供下列服务：</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 标的物的现场安装、启动、调试、监督（如果必须安装、调试的话）；</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3、 在合同规定的期限内对所提供的标的物实行运行监督、维修服务的前提条件是该服务并不能免除乙方在质量保证期内所承担的义务；</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4、对甲方技术人员的技术指导或培训。</w:t>
      </w:r>
    </w:p>
    <w:p>
      <w:pPr>
        <w:snapToGrid w:val="0"/>
        <w:spacing w:line="520" w:lineRule="exact"/>
        <w:ind w:firstLine="573"/>
        <w:rPr>
          <w:rFonts w:ascii="仿宋" w:hAnsi="仿宋" w:eastAsia="仿宋" w:cs="仿宋"/>
          <w:spacing w:val="-20"/>
          <w:sz w:val="28"/>
          <w:szCs w:val="28"/>
        </w:rPr>
      </w:pPr>
      <w:r>
        <w:rPr>
          <w:rFonts w:hint="eastAsia" w:ascii="仿宋" w:hAnsi="仿宋" w:eastAsia="仿宋" w:cs="仿宋"/>
          <w:sz w:val="28"/>
          <w:szCs w:val="28"/>
        </w:rPr>
        <w:t>5、 除合同另有规定之外，伴随服务的费用均已含在合同价款中，</w:t>
      </w:r>
      <w:r>
        <w:rPr>
          <w:rFonts w:hint="eastAsia" w:ascii="仿宋" w:hAnsi="仿宋" w:eastAsia="仿宋" w:cs="仿宋"/>
          <w:spacing w:val="-20"/>
          <w:sz w:val="28"/>
          <w:szCs w:val="28"/>
        </w:rPr>
        <w:t>甲方不再另行支付。</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第十条 货物的检验和验收</w:t>
      </w:r>
    </w:p>
    <w:p>
      <w:pPr>
        <w:snapToGrid w:val="0"/>
        <w:spacing w:line="520" w:lineRule="exact"/>
        <w:ind w:firstLine="573"/>
        <w:rPr>
          <w:rFonts w:ascii="仿宋" w:hAnsi="仿宋" w:eastAsia="仿宋" w:cs="仿宋"/>
          <w:bCs/>
          <w:sz w:val="28"/>
          <w:szCs w:val="28"/>
        </w:rPr>
      </w:pPr>
      <w:r>
        <w:rPr>
          <w:rFonts w:hint="eastAsia" w:ascii="仿宋" w:hAnsi="仿宋" w:eastAsia="仿宋" w:cs="仿宋"/>
          <w:sz w:val="28"/>
          <w:szCs w:val="28"/>
        </w:rPr>
        <w:t>使用方有权在产品制造过程中进行中期验收和交付后抽样检测，如验收不合格，使用方有权中止合同，验收合格，验收所发生的费用由使用方承担，验收不合格所发生的一切费用由供应商承担，按照实际发生的费用从履约保证金中扣除，扣完为止。</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第十一条 售后服务</w:t>
      </w:r>
    </w:p>
    <w:p>
      <w:pPr>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1、供应商应提供详细的售后服务方案。</w:t>
      </w:r>
    </w:p>
    <w:p>
      <w:pPr>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bCs/>
          <w:sz w:val="28"/>
          <w:szCs w:val="28"/>
        </w:rPr>
        <w:t>自合同签订之日起计算，提供</w:t>
      </w:r>
      <w:r>
        <w:rPr>
          <w:rFonts w:hint="eastAsia" w:ascii="仿宋" w:hAnsi="仿宋" w:eastAsia="仿宋" w:cs="仿宋"/>
          <w:bCs/>
          <w:sz w:val="28"/>
          <w:szCs w:val="28"/>
          <w:u w:val="single"/>
        </w:rPr>
        <w:t>一年</w:t>
      </w:r>
      <w:r>
        <w:rPr>
          <w:rFonts w:hint="eastAsia" w:ascii="仿宋" w:hAnsi="仿宋" w:eastAsia="仿宋" w:cs="仿宋"/>
          <w:bCs/>
          <w:sz w:val="28"/>
          <w:szCs w:val="28"/>
        </w:rPr>
        <w:t>免费质保服务。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成交后不履行承诺的,采购单位将扣除履约保证金，并保留追究其责任的权利。</w:t>
      </w:r>
    </w:p>
    <w:p>
      <w:pPr>
        <w:spacing w:line="360" w:lineRule="auto"/>
        <w:ind w:left="759" w:leftChars="228" w:hanging="280" w:hangingChars="100"/>
        <w:rPr>
          <w:rFonts w:ascii="仿宋" w:hAnsi="仿宋" w:eastAsia="仿宋" w:cs="仿宋"/>
          <w:sz w:val="28"/>
          <w:szCs w:val="28"/>
        </w:rPr>
      </w:pPr>
      <w:r>
        <w:rPr>
          <w:rFonts w:hint="eastAsia" w:ascii="仿宋" w:hAnsi="仿宋" w:eastAsia="仿宋" w:cs="仿宋"/>
          <w:sz w:val="28"/>
          <w:szCs w:val="28"/>
        </w:rPr>
        <w:t>3、本招标项目规定的产品应是全新和无任何缺陷的产品。</w:t>
      </w:r>
    </w:p>
    <w:p>
      <w:pPr>
        <w:spacing w:line="360" w:lineRule="auto"/>
        <w:ind w:left="759" w:leftChars="228" w:hanging="280" w:hangingChars="100"/>
        <w:rPr>
          <w:rFonts w:ascii="仿宋" w:hAnsi="仿宋" w:eastAsia="仿宋" w:cs="仿宋"/>
          <w:sz w:val="28"/>
          <w:szCs w:val="28"/>
        </w:rPr>
      </w:pPr>
      <w:r>
        <w:rPr>
          <w:rFonts w:hint="eastAsia" w:ascii="仿宋" w:hAnsi="仿宋" w:eastAsia="仿宋" w:cs="仿宋"/>
          <w:sz w:val="28"/>
          <w:szCs w:val="28"/>
        </w:rPr>
        <w:t>4、乙方应按技术要求和相关的标准进行设计和制造。</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第十二条 违约责任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合同一方不履行合同义务或者履行合同义务不符合约定的，应当承担继续履行、采取补救措施或赔偿损失等违约责任。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1、甲方违约责任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1.1甲方违反合同规定，拒绝接收乙方交付的合格标的物，应当承担乙方由此造成的损失。</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 乙方违约责任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2.1 乙方不能交货，或交货检测不合格从而影响甲方按期正常使用的，应向甲方偿付合同总价款</w:t>
      </w:r>
      <w:r>
        <w:rPr>
          <w:rFonts w:hint="eastAsia" w:ascii="仿宋" w:hAnsi="仿宋" w:eastAsia="仿宋" w:cs="仿宋"/>
          <w:sz w:val="28"/>
          <w:szCs w:val="28"/>
          <w:u w:val="single"/>
        </w:rPr>
        <w:t xml:space="preserve">  20  </w:t>
      </w:r>
      <w:r>
        <w:rPr>
          <w:rFonts w:hint="eastAsia" w:ascii="仿宋" w:hAnsi="仿宋" w:eastAsia="仿宋" w:cs="仿宋"/>
          <w:sz w:val="28"/>
          <w:szCs w:val="28"/>
        </w:rPr>
        <w:t>%的违约金，违约金不足以补偿损失的，甲方有权要求乙方补足。</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2.2 乙方逾期交货的 ，应在发货前与甲方采购管理部门协商，甲方仍需求的，乙方应立即发货，按照逾期交货部分货款每天</w:t>
      </w:r>
      <w:r>
        <w:rPr>
          <w:rFonts w:hint="eastAsia" w:ascii="仿宋" w:hAnsi="仿宋" w:eastAsia="仿宋" w:cs="仿宋"/>
          <w:sz w:val="28"/>
          <w:szCs w:val="28"/>
          <w:u w:val="single"/>
        </w:rPr>
        <w:t xml:space="preserve">5% </w:t>
      </w:r>
      <w:r>
        <w:rPr>
          <w:rFonts w:hint="eastAsia" w:ascii="仿宋" w:hAnsi="仿宋" w:eastAsia="仿宋" w:cs="仿宋"/>
          <w:sz w:val="28"/>
          <w:szCs w:val="28"/>
        </w:rPr>
        <w:t>的数额，支付逾期交货违约金，同时承担甲方因此遭致的损失费用。</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2.3经相关部门抽检，发现乙方配送货物生产企业</w:t>
      </w:r>
      <w:r>
        <w:rPr>
          <w:rFonts w:hint="eastAsia" w:ascii="仿宋" w:hAnsi="仿宋" w:eastAsia="仿宋" w:cs="仿宋"/>
          <w:b/>
          <w:bCs/>
          <w:sz w:val="28"/>
          <w:szCs w:val="28"/>
        </w:rPr>
        <w:t>未按指定品种要求</w:t>
      </w:r>
      <w:r>
        <w:rPr>
          <w:rFonts w:hint="eastAsia" w:ascii="仿宋" w:hAnsi="仿宋" w:eastAsia="仿宋" w:cs="仿宋"/>
          <w:sz w:val="28"/>
          <w:szCs w:val="28"/>
        </w:rPr>
        <w:t>出</w:t>
      </w:r>
      <w:r>
        <w:rPr>
          <w:rFonts w:hint="eastAsia" w:ascii="仿宋" w:hAnsi="仿宋" w:eastAsia="仿宋" w:cs="仿宋"/>
          <w:snapToGrid w:val="0"/>
          <w:sz w:val="28"/>
          <w:szCs w:val="28"/>
          <w:lang w:val="zh-CN"/>
        </w:rPr>
        <w:t>自</w:t>
      </w:r>
      <w:r>
        <w:rPr>
          <w:rFonts w:hint="eastAsia" w:ascii="仿宋" w:hAnsi="仿宋" w:eastAsia="仿宋" w:cs="仿宋"/>
          <w:b/>
          <w:bCs/>
          <w:snapToGrid w:val="0"/>
          <w:sz w:val="28"/>
          <w:szCs w:val="28"/>
          <w:u w:val="single"/>
        </w:rPr>
        <w:t>民政</w:t>
      </w:r>
      <w:r>
        <w:rPr>
          <w:rFonts w:hint="eastAsia" w:ascii="仿宋" w:hAnsi="仿宋" w:eastAsia="仿宋" w:cs="仿宋"/>
          <w:b/>
          <w:bCs/>
          <w:snapToGrid w:val="0"/>
          <w:sz w:val="28"/>
          <w:szCs w:val="28"/>
          <w:u w:val="single"/>
          <w:lang w:val="zh-CN"/>
        </w:rPr>
        <w:t>部救灾司《自然灾害应急救助物资生产商参考名录（201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版）》内的生产企业生产</w:t>
      </w:r>
      <w:r>
        <w:rPr>
          <w:rFonts w:hint="eastAsia" w:ascii="仿宋" w:hAnsi="仿宋" w:eastAsia="仿宋" w:cs="仿宋"/>
          <w:snapToGrid w:val="0"/>
          <w:sz w:val="28"/>
          <w:szCs w:val="28"/>
          <w:lang w:val="zh-CN"/>
        </w:rPr>
        <w:t>，</w:t>
      </w:r>
      <w:r>
        <w:rPr>
          <w:rFonts w:hint="eastAsia" w:ascii="仿宋" w:hAnsi="仿宋" w:eastAsia="仿宋" w:cs="仿宋"/>
          <w:sz w:val="28"/>
          <w:szCs w:val="28"/>
        </w:rPr>
        <w:t>应向甲方赔付合同指定品种总价款</w:t>
      </w:r>
      <w:r>
        <w:rPr>
          <w:rFonts w:hint="eastAsia" w:ascii="仿宋" w:hAnsi="仿宋" w:eastAsia="仿宋" w:cs="仿宋"/>
          <w:sz w:val="28"/>
          <w:szCs w:val="28"/>
          <w:u w:val="single"/>
        </w:rPr>
        <w:t>50%</w:t>
      </w:r>
      <w:r>
        <w:rPr>
          <w:rFonts w:hint="eastAsia" w:ascii="仿宋" w:hAnsi="仿宋" w:eastAsia="仿宋" w:cs="仿宋"/>
          <w:sz w:val="28"/>
          <w:szCs w:val="28"/>
        </w:rPr>
        <w:t>的违罚金，违约金不足以补偿罚金的，甲方有权要求乙方补足。</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第十三条 不可抗力</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 因不可抗力不能履行合同的，根据不可抗力的影响，部分或者全部免除责任。但合同一方延迟履行后发生不可抗力的，不能免除责任。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 合同一方因不可抗力不能履行合同的，应当及时通知对方，以减轻可能给对方造成的损失，并应当在合理期限内提供证明。</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第十四条 索赔</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 、甲方有权根据当地产品质量检验机构或其他有权部门出具的检验证书向乙方提出索赔。</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 、在本合同规定的检验期限和质量保证期内，如果乙方对甲方提出的索赔或差异有责任，则乙方应按甲方同意的下列一种或多种方式解决索赔事宜：</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2.1 乙方同意退货，并按合同规定的货币将货款退还给甲方，并且承担由此发生的一切损失和费用，包括利息、银行手续费、运费、保险费、检验费、仓储费、装卸费以及为保护退回标的物所需的其他必要费用。</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2.2 根据标的物的低劣程度、损坏程度以及甲方遭受损失的数额，经双方协商确定降低标的物的价格。</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第十五条 履约保证金</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1、本项目成交后的履约保证金为项目中标价的10%。</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乙方的履约保证金须在成交通知书发出3个工作日内汇入甲方指定账户，成交通知书发出后3个工作日内且按约定提交履约保证金后按照采购文件确定的事项与甲方签订合同。超期或未有协商，则视为自动放弃成交资格。</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3、乙方在按要求保质保量的完成该项目合同并通过验收后，甲方凭乙方提交的申请，一次性无息退还该合同项目的履约保证金。</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4、由于乙方原因，在签订合同后出现不按合同履行的情况，甲方有权将履约保证金作为违约金，全额不予退还，同时甲方亦有权终止合同，乙方还须承担相应的法律赔偿责任。</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第十六条 合同的解除和转让</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1、甲方和乙方协商一致，可以解除合同。</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 有下列情形之一，合同一方可以解除合同：</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2.1 因不可抗力致使不能实现合同目的，未受不可抗力影响的一方有权解除合同。</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2.2 因合同一方违约导致合同不能履行，另一方有权解除合同。</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2.3 有权解除合同的一方，应当在违约事实或不可抗力发生之后三十天内书面通知对方以主张解除合同，合同在书面通知到达对方时解除。</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3、 合同的部分和全部都不得转让。</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第十七条  合同的生效</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 xml:space="preserve">本合同在乙方按规定缴纳了履约保证金且甲乙双方签字盖章后即生效。  </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第十八条  争议的解决</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甲乙双方因合同发生争议，应在招标采购单位的主持下进行调解，协商不成，任何一方可以向甲方所在地人民法院起诉。</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第十九条   附则</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1、合同份数：本合同一式四份，采购单位、供应商各两份。</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2、本合同文件使用中文书写、解释和说明。</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3、本合同履行过程中产生的纪要、协议以及成交通知书、采购响应文件和采购文件为本合同的附件，与合同具有同等效力。</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第二十条  未尽事宜</w:t>
      </w:r>
    </w:p>
    <w:p>
      <w:pPr>
        <w:snapToGrid w:val="0"/>
        <w:spacing w:line="520" w:lineRule="exact"/>
        <w:ind w:firstLine="573"/>
        <w:rPr>
          <w:rFonts w:ascii="仿宋" w:hAnsi="仿宋" w:eastAsia="仿宋" w:cs="仿宋"/>
          <w:sz w:val="28"/>
          <w:szCs w:val="28"/>
        </w:rPr>
      </w:pPr>
      <w:r>
        <w:rPr>
          <w:rFonts w:hint="eastAsia" w:ascii="仿宋" w:hAnsi="仿宋" w:eastAsia="仿宋" w:cs="仿宋"/>
          <w:sz w:val="28"/>
          <w:szCs w:val="28"/>
        </w:rPr>
        <w:t>本合同未尽事宜应按照《中华人民共和国合同法》、《中华人民共和国产品质量法》、《中华人民共和国政府采购法》及其相关配套法律法规之规定解释。</w:t>
      </w:r>
    </w:p>
    <w:p>
      <w:pPr>
        <w:spacing w:line="5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采购单位（或甲方）：             成交供应商（或乙方）：</w:t>
      </w:r>
    </w:p>
    <w:p>
      <w:pPr>
        <w:spacing w:line="5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法定代表人：                     法定代表人：</w:t>
      </w:r>
    </w:p>
    <w:p>
      <w:pPr>
        <w:spacing w:line="5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委托代理人：                     委托代理人：</w:t>
      </w:r>
    </w:p>
    <w:p>
      <w:pPr>
        <w:spacing w:line="520" w:lineRule="exact"/>
        <w:ind w:firstLine="484" w:firstLineChars="202"/>
        <w:rPr>
          <w:rFonts w:ascii="宋体" w:hAnsi="宋体" w:cs="宋体"/>
          <w:kern w:val="0"/>
          <w:sz w:val="24"/>
          <w:szCs w:val="24"/>
        </w:rPr>
      </w:pPr>
    </w:p>
    <w:p>
      <w:pPr>
        <w:spacing w:line="520" w:lineRule="exact"/>
        <w:ind w:firstLine="724" w:firstLineChars="302"/>
        <w:rPr>
          <w:rFonts w:ascii="宋体" w:hAnsi="宋体" w:cs="宋体"/>
          <w:kern w:val="0"/>
          <w:sz w:val="24"/>
          <w:szCs w:val="2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tabs>
          <w:tab w:val="left" w:pos="900"/>
        </w:tabs>
        <w:spacing w:line="566" w:lineRule="exact"/>
        <w:ind w:firstLine="883" w:firstLineChars="200"/>
        <w:jc w:val="center"/>
        <w:rPr>
          <w:rFonts w:ascii="宋体" w:hAnsi="宋体" w:cs="宋体"/>
          <w:b/>
          <w:bCs/>
          <w:snapToGrid w:val="0"/>
          <w:sz w:val="44"/>
          <w:szCs w:val="44"/>
        </w:rPr>
      </w:pPr>
    </w:p>
    <w:p>
      <w:pPr>
        <w:pStyle w:val="3"/>
        <w:rPr>
          <w:rFonts w:ascii="宋体" w:hAnsi="宋体" w:eastAsia="宋体" w:cs="宋体"/>
          <w:sz w:val="44"/>
          <w:szCs w:val="44"/>
        </w:rPr>
      </w:pPr>
      <w:r>
        <w:rPr>
          <w:rFonts w:hint="eastAsia" w:ascii="宋体" w:hAnsi="宋体" w:eastAsia="宋体" w:cs="宋体"/>
          <w:sz w:val="44"/>
          <w:szCs w:val="44"/>
        </w:rPr>
        <w:t>第</w:t>
      </w:r>
      <w:bookmarkEnd w:id="154"/>
      <w:r>
        <w:rPr>
          <w:rFonts w:hint="eastAsia" w:ascii="宋体" w:hAnsi="宋体" w:eastAsia="宋体" w:cs="宋体"/>
          <w:sz w:val="44"/>
          <w:szCs w:val="44"/>
        </w:rPr>
        <w:t>四章 项目需求</w:t>
      </w:r>
      <w:bookmarkEnd w:id="155"/>
      <w:bookmarkEnd w:id="156"/>
      <w:bookmarkEnd w:id="157"/>
    </w:p>
    <w:p/>
    <w:p>
      <w:pPr>
        <w:pStyle w:val="55"/>
        <w:snapToGrid w:val="0"/>
        <w:spacing w:line="300" w:lineRule="auto"/>
        <w:ind w:firstLine="562" w:firstLineChars="200"/>
        <w:contextualSpacing/>
        <w:rPr>
          <w:rFonts w:ascii="仿宋" w:hAnsi="仿宋" w:eastAsia="仿宋"/>
          <w:snapToGrid w:val="0"/>
          <w:sz w:val="28"/>
        </w:rPr>
      </w:pPr>
      <w:bookmarkStart w:id="160" w:name="_Toc49090575"/>
      <w:bookmarkStart w:id="161" w:name="_Toc26554093"/>
      <w:r>
        <w:rPr>
          <w:rFonts w:hint="eastAsia" w:ascii="仿宋" w:hAnsi="仿宋" w:eastAsia="仿宋" w:cs="宋体"/>
          <w:b/>
          <w:snapToGrid w:val="0"/>
          <w:sz w:val="28"/>
          <w:lang w:val="zh-CN"/>
        </w:rPr>
        <w:t>请投标人在报名和制作投标文件时仔细研究项目需求说明。</w:t>
      </w:r>
      <w:r>
        <w:rPr>
          <w:rFonts w:hint="eastAsia" w:ascii="仿宋" w:hAnsi="仿宋" w:eastAsia="仿宋" w:cs="宋体"/>
          <w:snapToGrid w:val="0"/>
          <w:sz w:val="28"/>
          <w:lang w:val="zh-CN"/>
        </w:rPr>
        <w:t>投标人不能简单照搬照抄采购单位项目需求说明中的技术、商务要求，必须作实事求是的响应。如照搬照抄项目需求说明中的技术、商务要求的，中标后供应商在与采购单位签订合同和履约环节中不得提出异议，一切后果和损失由中标供应商承担。如投标人提供的货物和服务同采购单位提出的项目需求说明中的技术、商务要求不同的，必须在《商</w:t>
      </w:r>
      <w:r>
        <w:rPr>
          <w:rFonts w:hint="eastAsia" w:ascii="仿宋" w:hAnsi="仿宋" w:eastAsia="仿宋"/>
          <w:snapToGrid w:val="0"/>
          <w:sz w:val="28"/>
        </w:rPr>
        <w:t>务部分正负偏离表》和《技术部分正负偏离表》上明示，如不明示的视同完全响应</w:t>
      </w:r>
      <w:r>
        <w:rPr>
          <w:rFonts w:hint="eastAsia" w:ascii="仿宋" w:hAnsi="仿宋" w:eastAsia="仿宋" w:cs="宋体"/>
          <w:snapToGrid w:val="0"/>
          <w:sz w:val="28"/>
          <w:lang w:val="zh-CN"/>
        </w:rPr>
        <w:t>。</w:t>
      </w:r>
    </w:p>
    <w:p>
      <w:pPr>
        <w:snapToGrid w:val="0"/>
        <w:spacing w:line="300" w:lineRule="auto"/>
        <w:ind w:firstLine="562" w:firstLineChars="200"/>
        <w:contextualSpacing/>
        <w:rPr>
          <w:rFonts w:ascii="仿宋" w:hAnsi="仿宋" w:eastAsia="仿宋"/>
          <w:b/>
          <w:snapToGrid w:val="0"/>
          <w:sz w:val="28"/>
          <w:szCs w:val="28"/>
        </w:rPr>
      </w:pPr>
      <w:r>
        <w:rPr>
          <w:rFonts w:hint="eastAsia" w:ascii="仿宋" w:hAnsi="仿宋" w:eastAsia="仿宋"/>
          <w:b/>
          <w:snapToGrid w:val="0"/>
          <w:sz w:val="28"/>
          <w:szCs w:val="28"/>
        </w:rPr>
        <w:t>一、有关要求说明</w:t>
      </w:r>
    </w:p>
    <w:p>
      <w:pPr>
        <w:tabs>
          <w:tab w:val="left" w:pos="1710"/>
        </w:tabs>
        <w:snapToGrid w:val="0"/>
        <w:spacing w:line="300" w:lineRule="auto"/>
        <w:ind w:firstLine="554" w:firstLineChars="197"/>
        <w:contextualSpacing/>
        <w:rPr>
          <w:rFonts w:ascii="仿宋" w:hAnsi="仿宋" w:eastAsia="仿宋" w:cs="仿宋_GB2312"/>
          <w:snapToGrid w:val="0"/>
          <w:sz w:val="28"/>
          <w:szCs w:val="28"/>
          <w:lang w:val="zh-CN"/>
        </w:rPr>
      </w:pPr>
      <w:r>
        <w:rPr>
          <w:rFonts w:hint="eastAsia" w:ascii="仿宋" w:hAnsi="仿宋" w:eastAsia="仿宋"/>
          <w:b/>
          <w:snapToGrid w:val="0"/>
          <w:sz w:val="28"/>
          <w:szCs w:val="28"/>
        </w:rPr>
        <w:t>1、</w:t>
      </w:r>
      <w:r>
        <w:rPr>
          <w:rFonts w:hint="eastAsia" w:ascii="仿宋" w:hAnsi="仿宋" w:eastAsia="仿宋" w:cs="仿宋_GB2312"/>
          <w:b/>
          <w:snapToGrid w:val="0"/>
          <w:sz w:val="28"/>
          <w:szCs w:val="28"/>
          <w:lang w:val="zh-CN"/>
        </w:rPr>
        <w:t>主要技术参数：</w:t>
      </w:r>
      <w:r>
        <w:rPr>
          <w:rFonts w:hint="eastAsia" w:ascii="仿宋" w:hAnsi="仿宋" w:eastAsia="仿宋" w:cs="仿宋_GB2312"/>
          <w:snapToGrid w:val="0"/>
          <w:sz w:val="28"/>
          <w:szCs w:val="28"/>
          <w:lang w:val="zh-CN"/>
        </w:rPr>
        <w:t>为鼓励不同品牌的充分竞争，如某主要技术参数属于个别品牌专有，则该主要技术参数不具有限制性，供应商可对该参数进行适当调整，并说明调整的理由。</w:t>
      </w:r>
    </w:p>
    <w:p>
      <w:pPr>
        <w:snapToGrid w:val="0"/>
        <w:spacing w:line="300" w:lineRule="auto"/>
        <w:ind w:firstLine="562" w:firstLineChars="200"/>
        <w:contextualSpacing/>
        <w:rPr>
          <w:rFonts w:ascii="仿宋" w:hAnsi="仿宋" w:eastAsia="仿宋" w:cs="宋体"/>
          <w:snapToGrid w:val="0"/>
          <w:kern w:val="0"/>
          <w:sz w:val="28"/>
          <w:szCs w:val="28"/>
          <w:lang w:val="zh-CN"/>
        </w:rPr>
      </w:pPr>
      <w:r>
        <w:rPr>
          <w:rFonts w:ascii="仿宋" w:hAnsi="仿宋" w:eastAsia="仿宋"/>
          <w:b/>
          <w:snapToGrid w:val="0"/>
          <w:sz w:val="28"/>
          <w:szCs w:val="28"/>
        </w:rPr>
        <w:t>2</w:t>
      </w:r>
      <w:r>
        <w:rPr>
          <w:rFonts w:hint="eastAsia" w:ascii="仿宋" w:hAnsi="仿宋" w:eastAsia="仿宋"/>
          <w:b/>
          <w:snapToGrid w:val="0"/>
          <w:sz w:val="28"/>
          <w:szCs w:val="28"/>
        </w:rPr>
        <w:t>、</w:t>
      </w:r>
      <w:r>
        <w:rPr>
          <w:rFonts w:hint="eastAsia" w:ascii="仿宋" w:hAnsi="仿宋" w:eastAsia="仿宋" w:cs="宋体"/>
          <w:b/>
          <w:snapToGrid w:val="0"/>
          <w:kern w:val="0"/>
          <w:sz w:val="28"/>
          <w:szCs w:val="28"/>
          <w:lang w:val="zh-CN"/>
        </w:rPr>
        <w:t>产品要求：产品要求详见招标物质采购清单。</w:t>
      </w:r>
      <w:r>
        <w:rPr>
          <w:rFonts w:hint="eastAsia" w:ascii="仿宋" w:hAnsi="仿宋" w:eastAsia="仿宋"/>
          <w:snapToGrid w:val="0"/>
          <w:sz w:val="28"/>
          <w:szCs w:val="28"/>
          <w:lang w:val="zh-CN"/>
        </w:rPr>
        <w:t>按采购人要求，部分指定种类产品必须采购</w:t>
      </w:r>
      <w:r>
        <w:rPr>
          <w:rFonts w:hint="eastAsia" w:ascii="仿宋" w:hAnsi="仿宋" w:eastAsia="仿宋"/>
          <w:b/>
          <w:bCs/>
          <w:snapToGrid w:val="0"/>
          <w:sz w:val="28"/>
          <w:szCs w:val="28"/>
          <w:u w:val="single"/>
          <w:lang w:val="zh-CN"/>
        </w:rPr>
        <w:t>民政部救灾司《自然灾害应急救助物资生产商参考名录（201</w:t>
      </w:r>
      <w:r>
        <w:rPr>
          <w:rFonts w:hint="eastAsia" w:ascii="仿宋" w:hAnsi="仿宋" w:eastAsia="仿宋"/>
          <w:b/>
          <w:bCs/>
          <w:snapToGrid w:val="0"/>
          <w:sz w:val="28"/>
          <w:szCs w:val="28"/>
          <w:u w:val="single"/>
        </w:rPr>
        <w:t>8</w:t>
      </w:r>
      <w:r>
        <w:rPr>
          <w:rFonts w:hint="eastAsia" w:ascii="仿宋" w:hAnsi="仿宋" w:eastAsia="仿宋"/>
          <w:b/>
          <w:bCs/>
          <w:snapToGrid w:val="0"/>
          <w:sz w:val="28"/>
          <w:szCs w:val="28"/>
          <w:u w:val="single"/>
          <w:lang w:val="zh-CN"/>
        </w:rPr>
        <w:t>版）》内的生产企业生产的产品</w:t>
      </w:r>
      <w:r>
        <w:rPr>
          <w:rFonts w:hint="eastAsia" w:ascii="仿宋" w:hAnsi="仿宋" w:eastAsia="仿宋" w:cs="宋体"/>
          <w:b/>
          <w:bCs/>
          <w:snapToGrid w:val="0"/>
          <w:kern w:val="0"/>
          <w:sz w:val="28"/>
          <w:szCs w:val="28"/>
          <w:u w:val="single"/>
          <w:lang w:val="zh-CN"/>
        </w:rPr>
        <w:t>。</w:t>
      </w:r>
      <w:r>
        <w:rPr>
          <w:rFonts w:hint="eastAsia" w:ascii="仿宋" w:hAnsi="仿宋" w:eastAsia="仿宋" w:cs="宋体"/>
          <w:snapToGrid w:val="0"/>
          <w:kern w:val="0"/>
          <w:sz w:val="28"/>
          <w:szCs w:val="28"/>
        </w:rPr>
        <w:t>产品必须是</w:t>
      </w:r>
      <w:r>
        <w:rPr>
          <w:rFonts w:hint="eastAsia" w:ascii="仿宋" w:hAnsi="仿宋" w:eastAsia="仿宋" w:cs="宋体"/>
          <w:snapToGrid w:val="0"/>
          <w:kern w:val="0"/>
          <w:sz w:val="28"/>
          <w:szCs w:val="28"/>
          <w:lang w:val="zh-CN"/>
        </w:rPr>
        <w:t>全新、未使用过的原装合格正品，完全符合采购文件规定的质量、规格和性能的要求，达到国家或行业规定的标准，实行生产许可证制度的，应提供生产许可证；属于国家强制认证的产品，必须通过认证。</w:t>
      </w:r>
    </w:p>
    <w:p>
      <w:pPr>
        <w:tabs>
          <w:tab w:val="left" w:pos="1710"/>
        </w:tabs>
        <w:snapToGrid w:val="0"/>
        <w:spacing w:line="300" w:lineRule="auto"/>
        <w:ind w:firstLine="551" w:firstLineChars="197"/>
        <w:contextualSpacing/>
        <w:rPr>
          <w:rFonts w:ascii="仿宋" w:hAnsi="仿宋" w:eastAsia="仿宋"/>
          <w:bCs/>
          <w:snapToGrid w:val="0"/>
          <w:sz w:val="28"/>
          <w:szCs w:val="28"/>
          <w:shd w:val="clear" w:color="auto" w:fill="FFFF00"/>
        </w:rPr>
      </w:pPr>
      <w:r>
        <w:rPr>
          <w:rFonts w:hint="eastAsia" w:ascii="仿宋" w:hAnsi="仿宋" w:eastAsia="仿宋"/>
          <w:bCs/>
          <w:snapToGrid w:val="0"/>
          <w:sz w:val="28"/>
          <w:szCs w:val="28"/>
        </w:rPr>
        <w:t>3、项目配送周期：合同签订后2个月内；所有采购货物必须在规定时间内配送齐全。</w:t>
      </w:r>
    </w:p>
    <w:p>
      <w:pPr>
        <w:rPr>
          <w:rFonts w:ascii="仿宋" w:hAnsi="仿宋" w:eastAsia="仿宋"/>
          <w:b/>
          <w:snapToGrid w:val="0"/>
          <w:sz w:val="28"/>
          <w:szCs w:val="28"/>
        </w:rPr>
        <w:sectPr>
          <w:footerReference r:id="rId3" w:type="default"/>
          <w:pgSz w:w="11905" w:h="16838"/>
          <w:pgMar w:top="1440" w:right="1080" w:bottom="1440" w:left="1080" w:header="850" w:footer="992" w:gutter="0"/>
          <w:cols w:space="0" w:num="1"/>
          <w:docGrid w:type="lines" w:linePitch="317" w:charSpace="0"/>
        </w:sectPr>
      </w:pPr>
      <w:r>
        <w:rPr>
          <w:rFonts w:hint="eastAsia" w:ascii="仿宋" w:hAnsi="仿宋" w:eastAsia="仿宋"/>
          <w:b/>
          <w:snapToGrid w:val="0"/>
          <w:sz w:val="28"/>
          <w:szCs w:val="28"/>
        </w:rPr>
        <w:br w:type="page"/>
      </w:r>
    </w:p>
    <w:p>
      <w:pPr>
        <w:snapToGrid w:val="0"/>
        <w:spacing w:line="300" w:lineRule="auto"/>
        <w:ind w:firstLine="562" w:firstLineChars="200"/>
        <w:contextualSpacing/>
        <w:rPr>
          <w:rFonts w:ascii="仿宋" w:hAnsi="仿宋" w:eastAsia="仿宋"/>
          <w:b/>
          <w:snapToGrid w:val="0"/>
          <w:sz w:val="28"/>
          <w:szCs w:val="28"/>
        </w:rPr>
      </w:pPr>
      <w:r>
        <w:rPr>
          <w:rFonts w:hint="eastAsia" w:ascii="仿宋" w:hAnsi="仿宋" w:eastAsia="仿宋"/>
          <w:b/>
          <w:snapToGrid w:val="0"/>
          <w:sz w:val="28"/>
          <w:szCs w:val="28"/>
        </w:rPr>
        <w:t>二、招标物资采购清单</w:t>
      </w:r>
    </w:p>
    <w:tbl>
      <w:tblPr>
        <w:tblStyle w:val="36"/>
        <w:tblW w:w="13988" w:type="dxa"/>
        <w:tblInd w:w="0" w:type="dxa"/>
        <w:tblLayout w:type="fixed"/>
        <w:tblCellMar>
          <w:top w:w="0" w:type="dxa"/>
          <w:left w:w="0" w:type="dxa"/>
          <w:bottom w:w="0" w:type="dxa"/>
          <w:right w:w="0" w:type="dxa"/>
        </w:tblCellMar>
      </w:tblPr>
      <w:tblGrid>
        <w:gridCol w:w="834"/>
        <w:gridCol w:w="2181"/>
        <w:gridCol w:w="837"/>
        <w:gridCol w:w="833"/>
        <w:gridCol w:w="3686"/>
        <w:gridCol w:w="834"/>
        <w:gridCol w:w="833"/>
        <w:gridCol w:w="3950"/>
      </w:tblGrid>
      <w:tr>
        <w:tblPrEx>
          <w:tblLayout w:type="fixed"/>
          <w:tblCellMar>
            <w:top w:w="0" w:type="dxa"/>
            <w:left w:w="0" w:type="dxa"/>
            <w:bottom w:w="0" w:type="dxa"/>
            <w:right w:w="0" w:type="dxa"/>
          </w:tblCellMar>
        </w:tblPrEx>
        <w:trPr>
          <w:trHeight w:val="840" w:hRule="atLeast"/>
        </w:trPr>
        <w:tc>
          <w:tcPr>
            <w:tcW w:w="13988"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40"/>
                <w:szCs w:val="40"/>
              </w:rPr>
            </w:pPr>
            <w:r>
              <w:rPr>
                <w:rFonts w:hint="eastAsia" w:ascii="宋体" w:hAnsi="宋体" w:cs="宋体"/>
                <w:color w:val="000000"/>
                <w:kern w:val="0"/>
                <w:sz w:val="40"/>
                <w:szCs w:val="40"/>
              </w:rPr>
              <w:t>南通市安全生产应急救援装备采购清单</w:t>
            </w:r>
          </w:p>
        </w:tc>
      </w:tr>
      <w:tr>
        <w:tblPrEx>
          <w:tblLayout w:type="fixed"/>
          <w:tblCellMar>
            <w:top w:w="0" w:type="dxa"/>
            <w:left w:w="0" w:type="dxa"/>
            <w:bottom w:w="0" w:type="dxa"/>
            <w:right w:w="0" w:type="dxa"/>
          </w:tblCellMar>
        </w:tblPrEx>
        <w:trPr>
          <w:trHeight w:val="6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单位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品牌及具体参数</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单价</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金额</w:t>
            </w: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rPr>
              <w:t>备注</w:t>
            </w: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抢险救援服（夏款）</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jc w:val="center"/>
              <w:textAlignment w:val="center"/>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XXX</w:t>
            </w:r>
            <w:r>
              <w:rPr>
                <w:rFonts w:hint="eastAsia" w:ascii="方正仿宋_GBK" w:hAnsi="方正仿宋_GBK" w:eastAsia="方正仿宋_GBK" w:cs="方正仿宋_GBK"/>
                <w:color w:val="000000"/>
                <w:kern w:val="0"/>
                <w:sz w:val="28"/>
                <w:szCs w:val="28"/>
              </w:rPr>
              <w:t>X</w:t>
            </w:r>
            <w:r>
              <w:rPr>
                <w:rFonts w:ascii="方正仿宋_GBK" w:hAnsi="方正仿宋_GBK" w:eastAsia="方正仿宋_GBK" w:cs="方正仿宋_GBK"/>
                <w:color w:val="000000"/>
                <w:kern w:val="0"/>
                <w:sz w:val="28"/>
                <w:szCs w:val="28"/>
              </w:rPr>
              <w:t>L</w:t>
            </w:r>
          </w:p>
          <w:p>
            <w:pPr>
              <w:widowControl/>
              <w:numPr>
                <w:numId w:val="0"/>
              </w:numPr>
              <w:jc w:val="both"/>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rPr>
              <w:t>具备阻燃、防水透气、隔热</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S码10套、M码10套、L码10套、XL码10套、XXL码10套、XXXL码10套、XXXXL码3套</w:t>
            </w: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抢险救援服（冬款）</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ind w:left="0" w:leftChars="0" w:firstLine="0" w:firstLineChars="0"/>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X</w:t>
            </w:r>
            <w:r>
              <w:rPr>
                <w:rFonts w:ascii="方正仿宋_GBK" w:hAnsi="方正仿宋_GBK" w:eastAsia="方正仿宋_GBK" w:cs="方正仿宋_GBK"/>
                <w:color w:val="000000"/>
                <w:kern w:val="0"/>
                <w:sz w:val="28"/>
                <w:szCs w:val="28"/>
              </w:rPr>
              <w:t>XXXL</w:t>
            </w:r>
          </w:p>
          <w:p>
            <w:pPr>
              <w:widowControl/>
              <w:numPr>
                <w:numId w:val="0"/>
              </w:numPr>
              <w:ind w:leftChars="0"/>
              <w:jc w:val="both"/>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rPr>
              <w:t>具备阻燃、防水透气、隔热</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冬款带绒，</w:t>
            </w:r>
            <w:r>
              <w:rPr>
                <w:rFonts w:hint="eastAsia" w:ascii="方正仿宋_GBK" w:hAnsi="方正仿宋_GBK" w:eastAsia="方正仿宋_GBK" w:cs="方正仿宋_GBK"/>
                <w:color w:val="000000"/>
                <w:sz w:val="28"/>
                <w:szCs w:val="28"/>
              </w:rPr>
              <w:t>S码10套、M码10套、L码10套、XL码10套、XXL码10套、XXXL码10套、XXXXL码3套</w:t>
            </w:r>
          </w:p>
        </w:tc>
      </w:tr>
      <w:tr>
        <w:tblPrEx>
          <w:tblLayout w:type="fixed"/>
          <w:tblCellMar>
            <w:top w:w="0" w:type="dxa"/>
            <w:left w:w="0" w:type="dxa"/>
            <w:bottom w:w="0" w:type="dxa"/>
            <w:right w:w="0"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抢险救援靴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 xml:space="preserve"> 38-44码</w:t>
            </w:r>
          </w:p>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eastAsia="zh-CN"/>
              </w:rPr>
              <w:t>隔热、防水、防砸、防腐蚀</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38，39，40，41，42，43码各10套，44码3套</w:t>
            </w:r>
          </w:p>
        </w:tc>
      </w:tr>
      <w:tr>
        <w:tblPrEx>
          <w:tblLayout w:type="fixed"/>
          <w:tblCellMar>
            <w:top w:w="0" w:type="dxa"/>
            <w:left w:w="0" w:type="dxa"/>
            <w:bottom w:w="0" w:type="dxa"/>
            <w:right w:w="0" w:type="dxa"/>
          </w:tblCellMar>
        </w:tblPrEx>
        <w:trPr>
          <w:trHeight w:val="6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抢险救援头盔</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标准F2  300*230MM</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7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抢险救援手套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牛皮材料 </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阻燃、隔热、防水、耐磨</w:t>
            </w:r>
          </w:p>
        </w:tc>
      </w:tr>
      <w:tr>
        <w:tblPrEx>
          <w:tblLayout w:type="fixed"/>
          <w:tblCellMar>
            <w:top w:w="0" w:type="dxa"/>
            <w:left w:w="0" w:type="dxa"/>
            <w:bottom w:w="0" w:type="dxa"/>
            <w:right w:w="0" w:type="dxa"/>
          </w:tblCellMar>
        </w:tblPrEx>
        <w:trPr>
          <w:trHeight w:val="8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抢险救援腰带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耐温204度</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6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防高温手套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耐热温度450度</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化学防护服（简易）</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半封闭轻型防化服 GB24540-2009</w:t>
            </w:r>
          </w:p>
          <w:p>
            <w:pPr>
              <w:widowControl/>
              <w:jc w:val="center"/>
              <w:textAlignment w:val="center"/>
              <w:rPr>
                <w:rFonts w:ascii="方正仿宋_GBK" w:hAnsi="方正仿宋_GBK" w:eastAsia="方正仿宋_GBK" w:cs="方正仿宋_GBK"/>
                <w:color w:val="000000"/>
                <w:sz w:val="28"/>
                <w:szCs w:val="28"/>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国标一级90MIN≤T&lt;120MIN  防护98%硫酸</w:t>
            </w:r>
          </w:p>
        </w:tc>
      </w:tr>
      <w:tr>
        <w:tblPrEx>
          <w:tblLayout w:type="fixed"/>
          <w:tblCellMar>
            <w:top w:w="0" w:type="dxa"/>
            <w:left w:w="0" w:type="dxa"/>
            <w:bottom w:w="0" w:type="dxa"/>
            <w:right w:w="0" w:type="dxa"/>
          </w:tblCellMar>
        </w:tblPrEx>
        <w:trPr>
          <w:trHeight w:val="7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防化靴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筒高355-385MM筒厚</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3.2-2.0MM重量1.6KG 防冲击防尘防化学飞溅</w:t>
            </w:r>
          </w:p>
        </w:tc>
      </w:tr>
      <w:tr>
        <w:tblPrEx>
          <w:tblLayout w:type="fixed"/>
          <w:tblCellMar>
            <w:top w:w="0" w:type="dxa"/>
            <w:left w:w="0" w:type="dxa"/>
            <w:bottom w:w="0" w:type="dxa"/>
            <w:right w:w="0" w:type="dxa"/>
          </w:tblCellMar>
        </w:tblPrEx>
        <w:trPr>
          <w:trHeight w:val="9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防化手套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型号：201510 *</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重型高性能防化手套长38CM 厚0.78MM氯丁橡胶材质 耐酸碱 </w:t>
            </w: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过滤式综合防毒面具整套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型号009001  3C标准</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A型 E型 K型滤罐各配15个</w:t>
            </w:r>
          </w:p>
        </w:tc>
      </w:tr>
      <w:tr>
        <w:tblPrEx>
          <w:tblLayout w:type="fixed"/>
          <w:tblCellMar>
            <w:top w:w="0" w:type="dxa"/>
            <w:left w:w="0" w:type="dxa"/>
            <w:bottom w:w="0" w:type="dxa"/>
            <w:right w:w="0" w:type="dxa"/>
          </w:tblCellMar>
        </w:tblPrEx>
        <w:trPr>
          <w:trHeight w:val="9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呼救器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RHJ240型防爆 防水 耐高温</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连续待机24小时连续报警240分钟防爆证号GYB14.1095 3C认证</w:t>
            </w:r>
          </w:p>
        </w:tc>
      </w:tr>
      <w:tr>
        <w:tblPrEx>
          <w:tblLayout w:type="fixed"/>
          <w:tblCellMar>
            <w:top w:w="0" w:type="dxa"/>
            <w:left w:w="0" w:type="dxa"/>
            <w:bottom w:w="0" w:type="dxa"/>
            <w:right w:w="0" w:type="dxa"/>
          </w:tblCellMar>
        </w:tblPrEx>
        <w:trPr>
          <w:trHeight w:val="7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护目镜</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EF32 重60克</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多功能防护 防尘 防飞溅 防冲击</w:t>
            </w:r>
          </w:p>
        </w:tc>
      </w:tr>
      <w:tr>
        <w:tblPrEx>
          <w:tblLayout w:type="fixed"/>
          <w:tblCellMar>
            <w:top w:w="0" w:type="dxa"/>
            <w:left w:w="0" w:type="dxa"/>
            <w:bottom w:w="0" w:type="dxa"/>
            <w:right w:w="0"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防爆灯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DF-6 可携式隔爆型防爆灯</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防爆标志:EXDIICT4  防爆合格证编号：NLE08409</w:t>
            </w:r>
          </w:p>
        </w:tc>
      </w:tr>
      <w:tr>
        <w:tblPrEx>
          <w:tblLayout w:type="fixed"/>
          <w:tblCellMar>
            <w:top w:w="0" w:type="dxa"/>
            <w:left w:w="0" w:type="dxa"/>
            <w:bottom w:w="0" w:type="dxa"/>
            <w:right w:w="0"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强光手电筒</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支持充电宝充电</w:t>
            </w:r>
          </w:p>
          <w:p>
            <w:pPr>
              <w:widowControl/>
              <w:jc w:val="center"/>
              <w:textAlignment w:val="center"/>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亮度4600LM</w:t>
            </w:r>
          </w:p>
          <w:p>
            <w:pPr>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val="en-US" w:eastAsia="zh-CN"/>
              </w:rPr>
              <w:t>射程800+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重0.55KG</w:t>
            </w:r>
            <w:r>
              <w:rPr>
                <w:rFonts w:hint="eastAsia" w:ascii="方正仿宋_GBK" w:hAnsi="方正仿宋_GBK" w:eastAsia="方正仿宋_GBK" w:cs="方正仿宋_GBK"/>
                <w:color w:val="000000"/>
                <w:kern w:val="0"/>
                <w:sz w:val="28"/>
                <w:szCs w:val="28"/>
                <w:lang w:eastAsia="zh-CN"/>
              </w:rPr>
              <w:t>左右</w:t>
            </w:r>
            <w:r>
              <w:rPr>
                <w:rFonts w:ascii="方正仿宋_GBK" w:hAnsi="方正仿宋_GBK" w:eastAsia="方正仿宋_GBK" w:cs="方正仿宋_GBK"/>
                <w:color w:val="000000"/>
                <w:kern w:val="0"/>
                <w:sz w:val="28"/>
                <w:szCs w:val="28"/>
              </w:rPr>
              <w:t xml:space="preserve"> 亮光调节强光弱光 防护等级IP7</w:t>
            </w:r>
          </w:p>
        </w:tc>
      </w:tr>
      <w:tr>
        <w:tblPrEx>
          <w:tblLayout w:type="fixed"/>
          <w:tblCellMar>
            <w:top w:w="0" w:type="dxa"/>
            <w:left w:w="0" w:type="dxa"/>
            <w:bottom w:w="0" w:type="dxa"/>
            <w:right w:w="0"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雨衣/雨裤</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加厚加密分体雨衣</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9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雨靴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38-44码 37高*42筒围</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加厚耐用 军工雨靴 牛筋底，38、39、40、41、42、43码各10双、44码3双</w:t>
            </w: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18</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防尘口罩（KN95）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500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KN95防护级别</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19</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移动电源（充电宝）</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FCC/CE认证  </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20000毫安  认证FCC/CE</w:t>
            </w:r>
          </w:p>
        </w:tc>
      </w:tr>
      <w:tr>
        <w:tblPrEx>
          <w:tblLayout w:type="fixed"/>
          <w:tblCellMar>
            <w:top w:w="0" w:type="dxa"/>
            <w:left w:w="0" w:type="dxa"/>
            <w:bottom w:w="0" w:type="dxa"/>
            <w:right w:w="0" w:type="dxa"/>
          </w:tblCellMar>
        </w:tblPrEx>
        <w:trPr>
          <w:trHeight w:val="9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20</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洗漱用品</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洗漱三合一套装</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漱口杯1只高露洁40G1支牙刷1只全棉竹纤毛巾1条26*50CM</w:t>
            </w:r>
          </w:p>
        </w:tc>
      </w:tr>
      <w:tr>
        <w:tblPrEx>
          <w:tblLayout w:type="fixed"/>
          <w:tblCellMar>
            <w:top w:w="0" w:type="dxa"/>
            <w:left w:w="0" w:type="dxa"/>
            <w:bottom w:w="0" w:type="dxa"/>
            <w:right w:w="0" w:type="dxa"/>
          </w:tblCellMar>
        </w:tblPrEx>
        <w:trPr>
          <w:trHeight w:val="6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毛巾被</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1.5*2M</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重量1.1-2斤  棉</w:t>
            </w:r>
          </w:p>
        </w:tc>
      </w:tr>
      <w:tr>
        <w:tblPrEx>
          <w:tblLayout w:type="fixed"/>
          <w:tblCellMar>
            <w:top w:w="0" w:type="dxa"/>
            <w:left w:w="0" w:type="dxa"/>
            <w:bottom w:w="0" w:type="dxa"/>
            <w:right w:w="0" w:type="dxa"/>
          </w:tblCellMar>
        </w:tblPrEx>
        <w:trPr>
          <w:trHeight w:val="5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军用水壶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87式水壶  容量1.2L</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长宽高20*15*9CM  材质：食品级铝</w:t>
            </w:r>
          </w:p>
        </w:tc>
      </w:tr>
      <w:tr>
        <w:tblPrEx>
          <w:tblLayout w:type="fixed"/>
          <w:tblCellMar>
            <w:top w:w="0" w:type="dxa"/>
            <w:left w:w="0" w:type="dxa"/>
            <w:bottom w:w="0" w:type="dxa"/>
            <w:right w:w="0" w:type="dxa"/>
          </w:tblCellMar>
        </w:tblPrEx>
        <w:trPr>
          <w:trHeight w:val="5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高倍望远镜</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GB/T19001-2016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双筒望远镜</w:t>
            </w:r>
          </w:p>
        </w:tc>
      </w:tr>
      <w:tr>
        <w:tblPrEx>
          <w:tblLayout w:type="fixed"/>
          <w:tblCellMar>
            <w:top w:w="0" w:type="dxa"/>
            <w:left w:w="0" w:type="dxa"/>
            <w:bottom w:w="0" w:type="dxa"/>
            <w:right w:w="0" w:type="dxa"/>
          </w:tblCellMar>
        </w:tblPrEx>
        <w:trPr>
          <w:trHeight w:val="5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多功能喊话器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3C认证 型号2501 输出50W</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7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防爆对讲机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TC700EX 122*55*38MM</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机身约406克 1800MAH防爆电池 </w:t>
            </w:r>
          </w:p>
        </w:tc>
      </w:tr>
      <w:tr>
        <w:tblPrEx>
          <w:tblLayout w:type="fixed"/>
          <w:tblCellMar>
            <w:top w:w="0" w:type="dxa"/>
            <w:left w:w="0" w:type="dxa"/>
            <w:bottom w:w="0" w:type="dxa"/>
            <w:right w:w="0" w:type="dxa"/>
          </w:tblCellMar>
        </w:tblPrEx>
        <w:trPr>
          <w:trHeight w:val="9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个人医用急救包</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定制SYS13042210 185*135*50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急救毯绷带胶带止血带纱布三角绷带棉棒手套清洁湿巾创可贴等</w:t>
            </w:r>
          </w:p>
        </w:tc>
      </w:tr>
      <w:tr>
        <w:tblPrEx>
          <w:tblLayout w:type="fixed"/>
          <w:tblCellMar>
            <w:top w:w="0" w:type="dxa"/>
            <w:left w:w="0" w:type="dxa"/>
            <w:bottom w:w="0" w:type="dxa"/>
            <w:right w:w="0" w:type="dxa"/>
          </w:tblCellMar>
        </w:tblPrEx>
        <w:trPr>
          <w:trHeight w:val="98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多功能应急包（空）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定制  高宽厚45*32*19CM</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多功能应急双肩包</w:t>
            </w:r>
          </w:p>
        </w:tc>
      </w:tr>
    </w:tbl>
    <w:p>
      <w:pPr>
        <w:pStyle w:val="12"/>
        <w:rPr>
          <w:rFonts w:ascii="宋体" w:hAnsi="宋体"/>
          <w:b/>
          <w:bCs/>
          <w:color w:val="333333"/>
          <w:shd w:val="clear" w:color="auto" w:fill="FFFFFF"/>
        </w:rPr>
      </w:pPr>
    </w:p>
    <w:p>
      <w:pPr>
        <w:pStyle w:val="12"/>
        <w:rPr>
          <w:rFonts w:ascii="宋体" w:hAnsi="宋体"/>
          <w:b/>
          <w:bCs/>
          <w:color w:val="333333"/>
          <w:shd w:val="clear" w:color="auto" w:fill="FFFFFF"/>
        </w:rPr>
      </w:pPr>
    </w:p>
    <w:p>
      <w:pPr>
        <w:pStyle w:val="12"/>
        <w:jc w:val="center"/>
        <w:rPr>
          <w:rFonts w:ascii="宋体" w:hAnsi="宋体"/>
          <w:b/>
          <w:bCs/>
          <w:color w:val="333333"/>
          <w:shd w:val="clear" w:color="auto" w:fill="FFFFFF"/>
        </w:rPr>
      </w:pPr>
    </w:p>
    <w:p>
      <w:pPr>
        <w:rPr>
          <w:rFonts w:ascii="仿宋" w:hAnsi="仿宋" w:eastAsia="仿宋"/>
          <w:b/>
          <w:snapToGrid w:val="0"/>
          <w:sz w:val="28"/>
          <w:szCs w:val="28"/>
        </w:rPr>
      </w:pPr>
    </w:p>
    <w:tbl>
      <w:tblPr>
        <w:tblStyle w:val="36"/>
        <w:tblW w:w="13988" w:type="dxa"/>
        <w:tblInd w:w="0" w:type="dxa"/>
        <w:tblLayout w:type="fixed"/>
        <w:tblCellMar>
          <w:top w:w="0" w:type="dxa"/>
          <w:left w:w="0" w:type="dxa"/>
          <w:bottom w:w="0" w:type="dxa"/>
          <w:right w:w="0" w:type="dxa"/>
        </w:tblCellMar>
      </w:tblPr>
      <w:tblGrid>
        <w:gridCol w:w="664"/>
        <w:gridCol w:w="1257"/>
        <w:gridCol w:w="721"/>
        <w:gridCol w:w="572"/>
        <w:gridCol w:w="6020"/>
        <w:gridCol w:w="870"/>
        <w:gridCol w:w="870"/>
        <w:gridCol w:w="3014"/>
      </w:tblGrid>
      <w:tr>
        <w:tblPrEx>
          <w:tblLayout w:type="fixed"/>
          <w:tblCellMar>
            <w:top w:w="0" w:type="dxa"/>
            <w:left w:w="0" w:type="dxa"/>
            <w:bottom w:w="0" w:type="dxa"/>
            <w:right w:w="0" w:type="dxa"/>
          </w:tblCellMar>
        </w:tblPrEx>
        <w:trPr>
          <w:trHeight w:val="510" w:hRule="atLeast"/>
        </w:trPr>
        <w:tc>
          <w:tcPr>
            <w:tcW w:w="13988"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40"/>
                <w:szCs w:val="40"/>
              </w:rPr>
            </w:pPr>
            <w:r>
              <w:rPr>
                <w:rFonts w:hint="eastAsia" w:ascii="宋体" w:hAnsi="宋体" w:cs="宋体"/>
                <w:color w:val="000000"/>
                <w:kern w:val="0"/>
                <w:sz w:val="40"/>
                <w:szCs w:val="40"/>
              </w:rPr>
              <w:t>南通市生活类救灾类物资采购清单</w:t>
            </w:r>
          </w:p>
        </w:tc>
      </w:tr>
      <w:tr>
        <w:tblPrEx>
          <w:tblLayout w:type="fixed"/>
          <w:tblCellMar>
            <w:top w:w="0" w:type="dxa"/>
            <w:left w:w="0" w:type="dxa"/>
            <w:bottom w:w="0" w:type="dxa"/>
            <w:right w:w="0" w:type="dxa"/>
          </w:tblCellMar>
        </w:tblPrEx>
        <w:trPr>
          <w:trHeight w:val="90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序号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物品名称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数量</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单位</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参数说明（品牌规格型号）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单价（元）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合计（元）</w:t>
            </w: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备注</w:t>
            </w:r>
          </w:p>
        </w:tc>
      </w:tr>
      <w:tr>
        <w:tblPrEx>
          <w:tblLayout w:type="fixed"/>
          <w:tblCellMar>
            <w:top w:w="0" w:type="dxa"/>
            <w:left w:w="0" w:type="dxa"/>
            <w:bottom w:w="0" w:type="dxa"/>
            <w:right w:w="0" w:type="dxa"/>
          </w:tblCellMar>
        </w:tblPrEx>
        <w:trPr>
          <w:trHeight w:val="104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帐篷</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550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顶</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12平米单帐篷；3.7m×3.2m×2.67（顶高）m×1.75（檐高）m；执行标准：MZ/T 011.2-2010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116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大帐篷</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36平方米单帐篷；7.86m×4.76m×3.1（顶高）m×1.75（檐高）m；执行标准：MZ/T 011.3-2010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72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折叠桌椅</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lang w:eastAsia="zh-CN"/>
              </w:rPr>
              <w:t>每套</w:t>
            </w:r>
            <w:r>
              <w:rPr>
                <w:rFonts w:ascii="方正仿宋_GBK" w:hAnsi="方正仿宋_GBK" w:eastAsia="方正仿宋_GBK" w:cs="方正仿宋_GBK"/>
                <w:color w:val="000000"/>
                <w:kern w:val="0"/>
                <w:sz w:val="28"/>
                <w:szCs w:val="28"/>
              </w:rPr>
              <w:t xml:space="preserve"> 1个桌子120*60CM(高低可升降55 60 70CM)</w:t>
            </w:r>
            <w:r>
              <w:rPr>
                <w:rFonts w:hint="eastAsia" w:ascii="方正仿宋_GBK" w:hAnsi="方正仿宋_GBK" w:eastAsia="方正仿宋_GBK" w:cs="方正仿宋_GBK"/>
                <w:color w:val="000000"/>
                <w:kern w:val="0"/>
                <w:sz w:val="28"/>
                <w:szCs w:val="28"/>
                <w:lang w:eastAsia="zh-CN"/>
              </w:rPr>
              <w:t>和</w:t>
            </w:r>
            <w:r>
              <w:rPr>
                <w:rFonts w:ascii="方正仿宋_GBK" w:hAnsi="方正仿宋_GBK" w:eastAsia="方正仿宋_GBK" w:cs="方正仿宋_GBK"/>
                <w:color w:val="000000"/>
                <w:kern w:val="0"/>
                <w:sz w:val="28"/>
                <w:szCs w:val="28"/>
              </w:rPr>
              <w:t>4个椅子28.5*26*40CM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铝合金 （桌面纤维防火密度板）</w:t>
            </w:r>
          </w:p>
        </w:tc>
      </w:tr>
      <w:tr>
        <w:tblPrEx>
          <w:tblLayout w:type="fixed"/>
          <w:tblCellMar>
            <w:top w:w="0" w:type="dxa"/>
            <w:left w:w="0" w:type="dxa"/>
            <w:bottom w:w="0" w:type="dxa"/>
            <w:right w:w="0" w:type="dxa"/>
          </w:tblCellMar>
        </w:tblPrEx>
        <w:trPr>
          <w:trHeight w:val="66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4</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折叠床</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方管+格纹布 198*100*45</w:t>
            </w:r>
            <w:r>
              <w:rPr>
                <w:rFonts w:hint="eastAsia" w:ascii="方正仿宋_GBK" w:hAnsi="方正仿宋_GBK" w:eastAsia="方正仿宋_GBK" w:cs="方正仿宋_GBK"/>
                <w:color w:val="000000"/>
                <w:kern w:val="0"/>
                <w:sz w:val="28"/>
                <w:szCs w:val="28"/>
                <w:lang w:eastAsia="zh-CN"/>
              </w:rPr>
              <w:t>、承重</w:t>
            </w:r>
            <w:r>
              <w:rPr>
                <w:rFonts w:hint="eastAsia" w:ascii="方正仿宋_GBK" w:hAnsi="方正仿宋_GBK" w:eastAsia="方正仿宋_GBK" w:cs="方正仿宋_GBK"/>
                <w:color w:val="000000"/>
                <w:kern w:val="0"/>
                <w:sz w:val="28"/>
                <w:szCs w:val="28"/>
                <w:lang w:val="en-US" w:eastAsia="zh-CN"/>
              </w:rPr>
              <w:t>200KG</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84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多功能睡袋</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300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冬季加厚180+30(帽子尺寸）*75CM 信封式睡袋，执行标准：MZ/T 014.4-2010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52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雨衣裤</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套</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高档双层带帽檐 M-XXXL 带反光条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M码300套、L码300套、XL码300套、XXL码300套、XXXL码300套、</w:t>
            </w: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56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雨鞋</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双</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高帮，</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7</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4</w:t>
            </w:r>
            <w:r>
              <w:rPr>
                <w:rFonts w:ascii="方正仿宋_GBK" w:hAnsi="方正仿宋_GBK" w:eastAsia="方正仿宋_GBK" w:cs="方正仿宋_GBK"/>
                <w:color w:val="000000"/>
                <w:kern w:val="0"/>
                <w:sz w:val="28"/>
                <w:szCs w:val="28"/>
              </w:rPr>
              <w:t>共7个码 高38*42CM筒围</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37码200双、38码200双、39码200双、40码200双、41码200双、42码200双、43码200双、44码100双，</w:t>
            </w: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62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8</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场地照明灯</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光源IP66防护等级 80*32CM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800W，户外防水大射灯</w:t>
            </w:r>
          </w:p>
        </w:tc>
      </w:tr>
      <w:tr>
        <w:tblPrEx>
          <w:tblLayout w:type="fixed"/>
          <w:tblCellMar>
            <w:top w:w="0" w:type="dxa"/>
            <w:left w:w="0" w:type="dxa"/>
            <w:bottom w:w="0" w:type="dxa"/>
            <w:right w:w="0" w:type="dxa"/>
          </w:tblCellMar>
        </w:tblPrEx>
        <w:trPr>
          <w:trHeight w:val="60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9</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简易厕所</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组装好，1.1*1.1*2.35带粪便收集装置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60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10</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多功能喊话器</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无线 含一块7小时锂电池 传送距离200米 200*180MM 录音240秒</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手持式30W</w:t>
            </w:r>
          </w:p>
        </w:tc>
      </w:tr>
      <w:tr>
        <w:tblPrEx>
          <w:tblLayout w:type="fixed"/>
          <w:tblCellMar>
            <w:top w:w="0" w:type="dxa"/>
            <w:left w:w="0" w:type="dxa"/>
            <w:bottom w:w="0" w:type="dxa"/>
            <w:right w:w="0" w:type="dxa"/>
          </w:tblCellMar>
        </w:tblPrEx>
        <w:trPr>
          <w:trHeight w:val="62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棉被</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1600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条</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标准GB/T19001-2008/ISO9001:2008，2米*2.3米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5件套床单被套枕套枕芯被芯</w:t>
            </w:r>
          </w:p>
        </w:tc>
      </w:tr>
      <w:tr>
        <w:tblPrEx>
          <w:tblLayout w:type="fixed"/>
          <w:tblCellMar>
            <w:top w:w="0" w:type="dxa"/>
            <w:left w:w="0" w:type="dxa"/>
            <w:bottom w:w="0" w:type="dxa"/>
            <w:right w:w="0" w:type="dxa"/>
          </w:tblCellMar>
        </w:tblPrEx>
        <w:trPr>
          <w:trHeight w:val="66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12</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全棉夏被</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1900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条</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标准GB/T19001-2008/ISO9001:2008，2米*2.3米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5件套床单被套枕套枕芯被芯</w:t>
            </w:r>
          </w:p>
        </w:tc>
      </w:tr>
      <w:tr>
        <w:tblPrEx>
          <w:tblLayout w:type="fixed"/>
          <w:tblCellMar>
            <w:top w:w="0" w:type="dxa"/>
            <w:left w:w="0" w:type="dxa"/>
            <w:bottom w:w="0" w:type="dxa"/>
            <w:right w:w="0" w:type="dxa"/>
          </w:tblCellMar>
        </w:tblPrEx>
        <w:trPr>
          <w:trHeight w:val="72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13</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蚊帐</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500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顶</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1.5*2.0*1.8 M 户外专用 无门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r>
              <w:rPr>
                <w:rFonts w:hint="eastAsia" w:ascii="仿宋" w:hAnsi="仿宋" w:eastAsia="仿宋" w:cs="仿宋"/>
                <w:b/>
                <w:bCs/>
                <w:snapToGrid w:val="0"/>
                <w:sz w:val="28"/>
                <w:szCs w:val="28"/>
                <w:u w:val="single"/>
              </w:rPr>
              <w:t>需出自</w:t>
            </w:r>
            <w:r>
              <w:rPr>
                <w:rFonts w:hint="eastAsia" w:ascii="仿宋" w:hAnsi="仿宋" w:eastAsia="仿宋" w:cs="仿宋"/>
                <w:b/>
                <w:bCs/>
                <w:snapToGrid w:val="0"/>
                <w:sz w:val="28"/>
                <w:szCs w:val="28"/>
                <w:u w:val="single"/>
                <w:lang w:val="zh-CN"/>
              </w:rPr>
              <w:t>《自然灾害应急救助物资生产商参考名录（201</w:t>
            </w:r>
            <w:r>
              <w:rPr>
                <w:rFonts w:hint="eastAsia" w:ascii="仿宋" w:hAnsi="仿宋" w:eastAsia="仿宋" w:cs="仿宋"/>
                <w:b/>
                <w:bCs/>
                <w:snapToGrid w:val="0"/>
                <w:sz w:val="28"/>
                <w:szCs w:val="28"/>
                <w:u w:val="single"/>
              </w:rPr>
              <w:t>8</w:t>
            </w:r>
            <w:r>
              <w:rPr>
                <w:rFonts w:hint="eastAsia" w:ascii="仿宋" w:hAnsi="仿宋" w:eastAsia="仿宋" w:cs="仿宋"/>
                <w:b/>
                <w:bCs/>
                <w:snapToGrid w:val="0"/>
                <w:sz w:val="28"/>
                <w:szCs w:val="28"/>
                <w:u w:val="single"/>
                <w:lang w:val="zh-CN"/>
              </w:rPr>
              <w:t>版）》</w:t>
            </w:r>
          </w:p>
        </w:tc>
      </w:tr>
      <w:tr>
        <w:tblPrEx>
          <w:tblLayout w:type="fixed"/>
          <w:tblCellMar>
            <w:top w:w="0" w:type="dxa"/>
            <w:left w:w="0" w:type="dxa"/>
            <w:bottom w:w="0" w:type="dxa"/>
            <w:right w:w="0" w:type="dxa"/>
          </w:tblCellMar>
        </w:tblPrEx>
        <w:trPr>
          <w:trHeight w:val="1289"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14</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雨伞</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50</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支</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ascii="方正仿宋_GBK" w:hAnsi="方正仿宋_GBK" w:eastAsia="方正仿宋_GBK" w:cs="方正仿宋_GBK"/>
                <w:color w:val="000000"/>
                <w:kern w:val="0"/>
                <w:sz w:val="28"/>
                <w:szCs w:val="28"/>
              </w:rPr>
              <w:t>长柄伞撑开尺寸126*92CM 半自动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560" w:hRule="atLeast"/>
        </w:trPr>
        <w:tc>
          <w:tcPr>
            <w:tcW w:w="66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w:t>
            </w:r>
          </w:p>
        </w:tc>
        <w:tc>
          <w:tcPr>
            <w:tcW w:w="12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液压搬用车</w:t>
            </w:r>
          </w:p>
        </w:tc>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w:t>
            </w:r>
          </w:p>
        </w:tc>
        <w:tc>
          <w:tcPr>
            <w:tcW w:w="5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1.5吨</w:t>
            </w:r>
            <w:r>
              <w:rPr>
                <w:rFonts w:hint="eastAsia" w:ascii="方正仿宋_GBK" w:hAnsi="方正仿宋_GBK" w:eastAsia="方正仿宋_GBK" w:cs="方正仿宋_GBK"/>
                <w:color w:val="000000"/>
                <w:kern w:val="0"/>
                <w:sz w:val="28"/>
                <w:szCs w:val="28"/>
              </w:rPr>
              <w:t>全</w:t>
            </w:r>
            <w:r>
              <w:rPr>
                <w:rFonts w:ascii="方正仿宋_GBK" w:hAnsi="方正仿宋_GBK" w:eastAsia="方正仿宋_GBK" w:cs="方正仿宋_GBK"/>
                <w:color w:val="000000"/>
                <w:kern w:val="0"/>
                <w:sz w:val="28"/>
                <w:szCs w:val="28"/>
              </w:rPr>
              <w:t>电动托盘搬运车 货叉落地高度85MM 电池24V/85AH</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1.5吨</w:t>
            </w:r>
          </w:p>
        </w:tc>
      </w:tr>
      <w:tr>
        <w:tblPrEx>
          <w:tblLayout w:type="fixed"/>
          <w:tblCellMar>
            <w:top w:w="0" w:type="dxa"/>
            <w:left w:w="0" w:type="dxa"/>
            <w:bottom w:w="0" w:type="dxa"/>
            <w:right w:w="0" w:type="dxa"/>
          </w:tblCellMar>
        </w:tblPrEx>
        <w:trPr>
          <w:trHeight w:val="620" w:hRule="atLeast"/>
        </w:trPr>
        <w:tc>
          <w:tcPr>
            <w:tcW w:w="664" w:type="dxa"/>
            <w:vMerge w:val="continue"/>
            <w:tcBorders>
              <w:left w:val="nil"/>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125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5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内置充电机 全车聚氨脂胎 机械转向 驱动无极调速 安全静音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特种设备证号：TS2510341-2020</w:t>
            </w:r>
          </w:p>
        </w:tc>
      </w:tr>
      <w:tr>
        <w:tblPrEx>
          <w:tblLayout w:type="fixed"/>
          <w:tblCellMar>
            <w:top w:w="0" w:type="dxa"/>
            <w:left w:w="0" w:type="dxa"/>
            <w:bottom w:w="0" w:type="dxa"/>
            <w:right w:w="0" w:type="dxa"/>
          </w:tblCellMar>
        </w:tblPrEx>
        <w:trPr>
          <w:trHeight w:val="600" w:hRule="atLeast"/>
        </w:trPr>
        <w:tc>
          <w:tcPr>
            <w:tcW w:w="66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12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5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货叉外侧间距两种规格可选：550/1200MM对应货叉长度1150/1200MM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推荐品牌：合力、中力、诺力</w:t>
            </w:r>
          </w:p>
        </w:tc>
      </w:tr>
      <w:tr>
        <w:tblPrEx>
          <w:tblLayout w:type="fixed"/>
          <w:tblCellMar>
            <w:top w:w="0" w:type="dxa"/>
            <w:left w:w="0" w:type="dxa"/>
            <w:bottom w:w="0" w:type="dxa"/>
            <w:right w:w="0" w:type="dxa"/>
          </w:tblCellMar>
        </w:tblPrEx>
        <w:trPr>
          <w:trHeight w:val="660" w:hRule="atLeast"/>
        </w:trPr>
        <w:tc>
          <w:tcPr>
            <w:tcW w:w="66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16</w:t>
            </w:r>
          </w:p>
        </w:tc>
        <w:tc>
          <w:tcPr>
            <w:tcW w:w="125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托盘搬用车</w:t>
            </w:r>
          </w:p>
        </w:tc>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w:t>
            </w:r>
          </w:p>
        </w:tc>
        <w:tc>
          <w:tcPr>
            <w:tcW w:w="5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 xml:space="preserve"> 2吨550型 把手离地125CM 货叉有效长度110CM 货叉齿宽16CM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680" w:hRule="atLeast"/>
        </w:trPr>
        <w:tc>
          <w:tcPr>
            <w:tcW w:w="66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125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5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货叉内宽23CM 外宽55CM 货叉高度上限20CM下限8.5CM 尼龙轮</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r>
      <w:tr>
        <w:tblPrEx>
          <w:tblLayout w:type="fixed"/>
          <w:tblCellMar>
            <w:top w:w="0" w:type="dxa"/>
            <w:left w:w="0" w:type="dxa"/>
            <w:bottom w:w="0" w:type="dxa"/>
            <w:right w:w="0" w:type="dxa"/>
          </w:tblCellMar>
        </w:tblPrEx>
        <w:trPr>
          <w:trHeight w:val="94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17</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挡鼠板</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18</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不锈钢201，高0.5米，厚10mm,嵌入式，17个宽1.48米，1个宽0.98米，每个1对卡槽</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具体尺寸现场量取，做好后安装到位</w:t>
            </w:r>
          </w:p>
        </w:tc>
      </w:tr>
      <w:tr>
        <w:tblPrEx>
          <w:tblLayout w:type="fixed"/>
          <w:tblCellMar>
            <w:top w:w="0" w:type="dxa"/>
            <w:left w:w="0" w:type="dxa"/>
            <w:bottom w:w="0" w:type="dxa"/>
            <w:right w:w="0" w:type="dxa"/>
          </w:tblCellMar>
        </w:tblPrEx>
        <w:trPr>
          <w:trHeight w:val="640" w:hRule="atLeast"/>
        </w:trPr>
        <w:tc>
          <w:tcPr>
            <w:tcW w:w="6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18</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平板推车</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个</w:t>
            </w:r>
          </w:p>
        </w:tc>
        <w:tc>
          <w:tcPr>
            <w:tcW w:w="6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kern w:val="0"/>
                <w:sz w:val="28"/>
                <w:szCs w:val="28"/>
              </w:rPr>
              <w:t>60*90CM左右，承重300公斤，可折叠扶手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28"/>
                <w:szCs w:val="2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8"/>
                <w:szCs w:val="28"/>
              </w:rPr>
            </w:pPr>
          </w:p>
        </w:tc>
        <w:tc>
          <w:tcPr>
            <w:tcW w:w="30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28"/>
                <w:szCs w:val="28"/>
              </w:rPr>
            </w:pPr>
          </w:p>
        </w:tc>
      </w:tr>
    </w:tbl>
    <w:p>
      <w:pPr>
        <w:rPr>
          <w:rFonts w:ascii="仿宋" w:hAnsi="仿宋" w:eastAsia="仿宋"/>
          <w:b/>
          <w:snapToGrid w:val="0"/>
          <w:sz w:val="28"/>
          <w:szCs w:val="28"/>
        </w:rPr>
        <w:sectPr>
          <w:pgSz w:w="16838" w:h="11905" w:orient="landscape"/>
          <w:pgMar w:top="1803" w:right="1440" w:bottom="1803" w:left="1440" w:header="850" w:footer="992" w:gutter="0"/>
          <w:cols w:space="0" w:num="1"/>
          <w:docGrid w:type="lines" w:linePitch="317" w:charSpace="0"/>
        </w:sectPr>
      </w:pPr>
      <w:r>
        <w:rPr>
          <w:rFonts w:hint="eastAsia" w:ascii="仿宋" w:hAnsi="仿宋" w:eastAsia="仿宋"/>
          <w:b/>
          <w:snapToGrid w:val="0"/>
          <w:sz w:val="28"/>
          <w:szCs w:val="28"/>
        </w:rPr>
        <w:br w:type="page"/>
      </w:r>
    </w:p>
    <w:p>
      <w:pPr>
        <w:shd w:val="solid" w:color="FFFFFF" w:fill="auto"/>
        <w:autoSpaceDN w:val="0"/>
        <w:spacing w:line="500" w:lineRule="exact"/>
        <w:ind w:firstLine="551" w:firstLineChars="196"/>
        <w:rPr>
          <w:rFonts w:ascii="宋体" w:hAnsi="宋体"/>
          <w:b/>
          <w:color w:val="333333"/>
          <w:sz w:val="28"/>
          <w:szCs w:val="28"/>
          <w:shd w:val="clear" w:color="auto" w:fill="FFFFFF"/>
        </w:rPr>
      </w:pPr>
      <w:r>
        <w:rPr>
          <w:rFonts w:hint="eastAsia" w:ascii="宋体" w:hAnsi="宋体"/>
          <w:b/>
          <w:color w:val="333333"/>
          <w:sz w:val="28"/>
          <w:szCs w:val="28"/>
          <w:shd w:val="clear" w:color="auto" w:fill="FFFFFF"/>
        </w:rPr>
        <w:t>三、包装运输、货物交付、检验验收</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1、包装运输</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1.1 对于定型包装产品要求所有产品为原厂原包装，需标识清楚、齐全，需标识有名称、规格、净含量、成分及配料表、生产厂家、生产日期、保质期限、生产许可证号、产品标准代码、贮藏条件、生产地址、联系方式等。</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1.2 供应商提供的全部货物，均应进行合理的外包装和装箱等，此包装方式应当足以保护所装货物不会在运输过程中损坏，并符合防潮、防震和防粗暴装卸，确保货物安全无损运抵现场。由于包装不善所引起的货物损坏和破灭失均由供应商承担。</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1.3 运输费和外包装费用均由供应商承担。</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2、货物交付</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2.1 供应商需在合同约定的交货期限内送达。</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2.2 供应商应在交货时向采购人提供《送货单》，采购人验货并在《送货单》上签字后，供需双方各执一份作为结算凭证。</w:t>
      </w:r>
    </w:p>
    <w:p>
      <w:pPr>
        <w:shd w:val="solid" w:color="FFFFFF" w:fill="auto"/>
        <w:autoSpaceDN w:val="0"/>
        <w:spacing w:line="500" w:lineRule="exact"/>
        <w:ind w:firstLine="562" w:firstLineChars="200"/>
        <w:rPr>
          <w:rFonts w:ascii="宋体" w:hAnsi="宋体"/>
          <w:b/>
          <w:color w:val="333333"/>
          <w:sz w:val="28"/>
          <w:szCs w:val="28"/>
          <w:shd w:val="clear" w:color="auto" w:fill="FFFFFF"/>
        </w:rPr>
      </w:pPr>
      <w:r>
        <w:rPr>
          <w:rFonts w:hint="eastAsia" w:ascii="宋体" w:hAnsi="宋体"/>
          <w:b/>
          <w:color w:val="333333"/>
          <w:sz w:val="28"/>
          <w:szCs w:val="28"/>
          <w:shd w:val="clear" w:color="auto" w:fill="FFFFFF"/>
        </w:rPr>
        <w:t>2.3供货商除了了提供《送货单》，还需提供生产企业出具的质量检测报告和质量保修单同时出具生产企业的供货书面声明（加盖公章）。</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3、检验验收</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3.1 供应商将货物运至指定地点后，应及时通知采购人收货。收货时，采购人发现货物包装有破损、货物有明显毁坏或数量、品种、品质等与双方约定有差异的，有权拒绝收货。</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3.2 采购人收货后，对于原厂定型包装的商品在使用前或打开包装后发现质量有问题的，供应商必须无条件接受退换货，并在两天内补齐，发生的损失由供应商承担。</w:t>
      </w:r>
    </w:p>
    <w:p>
      <w:pPr>
        <w:shd w:val="solid" w:color="FFFFFF" w:fill="auto"/>
        <w:autoSpaceDN w:val="0"/>
        <w:spacing w:line="500" w:lineRule="exact"/>
        <w:ind w:firstLine="560" w:firstLineChars="200"/>
        <w:rPr>
          <w:rFonts w:ascii="黑体" w:eastAsia="黑体"/>
          <w:bCs/>
          <w:sz w:val="44"/>
        </w:rPr>
      </w:pPr>
      <w:r>
        <w:rPr>
          <w:rFonts w:hint="eastAsia" w:ascii="宋体" w:hAnsi="宋体"/>
          <w:bCs/>
          <w:color w:val="333333"/>
          <w:sz w:val="28"/>
          <w:szCs w:val="28"/>
          <w:shd w:val="clear" w:color="auto" w:fill="FFFFFF"/>
        </w:rPr>
        <w:t>3.3 对于储存时间接近质保期的货物，采购人有权要求退货或换货。</w:t>
      </w:r>
      <w:bookmarkStart w:id="162" w:name="_Toc120614281"/>
    </w:p>
    <w:p>
      <w:pPr>
        <w:pStyle w:val="3"/>
        <w:rPr>
          <w:rFonts w:ascii="宋体" w:hAnsi="宋体" w:eastAsia="宋体" w:cs="宋体"/>
          <w:sz w:val="44"/>
          <w:szCs w:val="44"/>
        </w:rPr>
      </w:pPr>
      <w:r>
        <w:rPr>
          <w:rFonts w:hint="eastAsia" w:ascii="宋体" w:hAnsi="宋体" w:eastAsia="宋体" w:cs="宋体"/>
          <w:sz w:val="44"/>
          <w:szCs w:val="44"/>
        </w:rPr>
        <w:t>第五章  评标方法与评标标准</w:t>
      </w:r>
    </w:p>
    <w:p>
      <w:pPr>
        <w:spacing w:line="566" w:lineRule="exact"/>
        <w:ind w:firstLine="640" w:firstLineChars="200"/>
        <w:rPr>
          <w:rFonts w:ascii="Times New Roman" w:hAnsi="Times New Roman" w:eastAsia="方正仿宋_GBK"/>
          <w:sz w:val="32"/>
          <w:szCs w:val="32"/>
        </w:rPr>
      </w:pP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一、评标方法与评标标准</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（一）资格审查。</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1、评标委员会进行资格审查并对合格投标人投标文件作符合性审。</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(二)商务标评审</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以有效投标文件的评标价算术平均值为 A（若有效投标文件＜7 家时，去掉其中的一个最低价后取算术平均值为 A；若7≤有效投标文件＜10 家时，去掉其中的一个最高价和二个最低价后取算术平均值为 A；若有效投标文件≥10 家时，去掉其中的二个最高价和三个最低价后取算术平均值为 A）；</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评标基准价 =A×K，K 值在开标时由投标人代表抽取确定，K 值的取值范围为95%、96%、97%、98%，评标基准价四舍五入保留三位小数。投标人的投标报价与评标基准价相等的得100分，与评标基准价相比较，每上浮1%扣 0.9分，下浮1%扣 0.6分。(不足1%的，采用插入法，得分保留两位小数)。</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说明：</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1、评标结束后,除确认存在评委评审和计算错误外，上述方法的评标基准价不因招投标当事人质疑、投诉、复议以及其它任何情形而改变。</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2、有效投标文件是指未被评标委员会判定为无效标的投标文件。</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二、中标（候选）人的确定</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1、评委会评审确定中标候选人：评标委员会对满足招标文件实质性要求的投标文件，按照评分标准对商务标进行打分，按得分由高到低顺序推荐第一、第二、第三中标候选人，得分相等时，由招标人代表抽签确定中标候选人。</w:t>
      </w:r>
    </w:p>
    <w:p>
      <w:pPr>
        <w:shd w:val="solid" w:color="FFFFFF" w:fill="auto"/>
        <w:autoSpaceDN w:val="0"/>
        <w:spacing w:line="500" w:lineRule="exact"/>
        <w:ind w:firstLine="560" w:firstLineChars="200"/>
        <w:rPr>
          <w:rFonts w:ascii="宋体" w:hAnsi="宋体"/>
          <w:bCs/>
          <w:color w:val="333333"/>
          <w:sz w:val="28"/>
          <w:szCs w:val="28"/>
          <w:shd w:val="clear" w:color="auto" w:fill="FFFFFF"/>
        </w:rPr>
      </w:pPr>
      <w:r>
        <w:rPr>
          <w:rFonts w:hint="eastAsia" w:ascii="宋体" w:hAnsi="宋体"/>
          <w:bCs/>
          <w:color w:val="333333"/>
          <w:sz w:val="28"/>
          <w:szCs w:val="28"/>
          <w:shd w:val="clear" w:color="auto" w:fill="FFFFFF"/>
        </w:rPr>
        <w:t>2、招标人、采购人代表现场宣布评标结果、告知未中标原因。</w:t>
      </w:r>
    </w:p>
    <w:p>
      <w:pPr>
        <w:tabs>
          <w:tab w:val="left" w:pos="900"/>
        </w:tabs>
        <w:spacing w:line="566" w:lineRule="exact"/>
        <w:rPr>
          <w:rFonts w:ascii="宋体" w:hAnsi="宋体" w:cs="宋体"/>
          <w:b/>
          <w:bCs/>
          <w:snapToGrid w:val="0"/>
          <w:sz w:val="44"/>
          <w:szCs w:val="44"/>
        </w:rPr>
      </w:pPr>
    </w:p>
    <w:p>
      <w:pPr>
        <w:pStyle w:val="3"/>
        <w:rPr>
          <w:rFonts w:ascii="宋体" w:hAnsi="宋体" w:eastAsia="宋体" w:cs="宋体"/>
          <w:sz w:val="44"/>
          <w:szCs w:val="44"/>
        </w:rPr>
      </w:pPr>
      <w:r>
        <w:rPr>
          <w:rFonts w:hint="eastAsia" w:ascii="宋体" w:hAnsi="宋体" w:eastAsia="宋体" w:cs="宋体"/>
          <w:sz w:val="44"/>
          <w:szCs w:val="44"/>
        </w:rPr>
        <w:t>第六章  投标文件组成</w:t>
      </w:r>
    </w:p>
    <w:p>
      <w:pPr>
        <w:snapToGrid w:val="0"/>
        <w:spacing w:line="300" w:lineRule="auto"/>
        <w:ind w:firstLine="555"/>
        <w:jc w:val="center"/>
        <w:rPr>
          <w:rFonts w:ascii="仿宋" w:hAnsi="仿宋" w:eastAsia="仿宋"/>
          <w:b/>
          <w:snapToGrid w:val="0"/>
          <w:sz w:val="28"/>
          <w:szCs w:val="28"/>
        </w:rPr>
      </w:pPr>
    </w:p>
    <w:p>
      <w:pPr>
        <w:spacing w:line="566" w:lineRule="exact"/>
        <w:ind w:firstLine="560" w:firstLineChars="200"/>
        <w:rPr>
          <w:rFonts w:ascii="宋体" w:hAnsi="宋体" w:cs="宋体"/>
          <w:sz w:val="28"/>
          <w:szCs w:val="28"/>
        </w:rPr>
      </w:pPr>
      <w:r>
        <w:rPr>
          <w:rFonts w:hint="eastAsia" w:ascii="宋体" w:hAnsi="宋体" w:cs="宋体"/>
          <w:sz w:val="28"/>
          <w:szCs w:val="28"/>
        </w:rPr>
        <w:t>投标文件由资格审查证明材料、商务标2部分组成。</w:t>
      </w:r>
    </w:p>
    <w:p>
      <w:pPr>
        <w:numPr>
          <w:ilvl w:val="0"/>
          <w:numId w:val="4"/>
        </w:numPr>
        <w:spacing w:line="566" w:lineRule="exact"/>
        <w:ind w:firstLine="560" w:firstLineChars="200"/>
        <w:rPr>
          <w:rFonts w:ascii="宋体" w:hAnsi="宋体" w:cs="宋体"/>
          <w:sz w:val="28"/>
          <w:szCs w:val="28"/>
        </w:rPr>
      </w:pPr>
      <w:r>
        <w:rPr>
          <w:rFonts w:hint="eastAsia" w:ascii="宋体" w:hAnsi="宋体" w:cs="宋体"/>
          <w:sz w:val="28"/>
          <w:szCs w:val="28"/>
        </w:rPr>
        <w:t>资格审查证明材料（不能出现报价，一正四副，单独密封并牢固装订）。</w:t>
      </w:r>
    </w:p>
    <w:p>
      <w:pPr>
        <w:spacing w:line="566" w:lineRule="exact"/>
        <w:ind w:firstLine="560" w:firstLineChars="200"/>
        <w:rPr>
          <w:rFonts w:ascii="宋体" w:hAnsi="宋体" w:cs="宋体"/>
          <w:sz w:val="28"/>
          <w:szCs w:val="28"/>
        </w:rPr>
      </w:pPr>
      <w:r>
        <w:rPr>
          <w:rFonts w:hint="eastAsia" w:ascii="宋体" w:hAnsi="宋体" w:cs="宋体"/>
          <w:sz w:val="28"/>
          <w:szCs w:val="28"/>
        </w:rPr>
        <w:t>1、供应商具有有效的营业执照及税务登记证复印件；或者是三证合一的营业执照复印件。(营业执照应具有相关经营范围，有能力提供本次采购项目及所要求的服务)。</w:t>
      </w:r>
    </w:p>
    <w:p>
      <w:pPr>
        <w:spacing w:line="566" w:lineRule="exact"/>
        <w:ind w:firstLine="560" w:firstLineChars="200"/>
        <w:rPr>
          <w:rFonts w:ascii="宋体" w:hAnsi="宋体" w:cs="宋体"/>
          <w:sz w:val="28"/>
          <w:szCs w:val="28"/>
        </w:rPr>
      </w:pPr>
      <w:r>
        <w:rPr>
          <w:rFonts w:hint="eastAsia" w:ascii="宋体" w:hAnsi="宋体" w:cs="宋体"/>
          <w:sz w:val="28"/>
          <w:szCs w:val="28"/>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与投标供应商签订的有效劳动合同复印件】。</w:t>
      </w:r>
    </w:p>
    <w:p>
      <w:pPr>
        <w:spacing w:line="566" w:lineRule="exact"/>
        <w:ind w:firstLine="560" w:firstLineChars="200"/>
        <w:rPr>
          <w:rFonts w:ascii="宋体" w:hAnsi="宋体" w:cs="宋体"/>
          <w:sz w:val="28"/>
          <w:szCs w:val="28"/>
        </w:rPr>
      </w:pPr>
      <w:r>
        <w:rPr>
          <w:rFonts w:hint="eastAsia" w:ascii="宋体" w:hAnsi="宋体" w:cs="宋体"/>
          <w:sz w:val="28"/>
          <w:szCs w:val="28"/>
        </w:rPr>
        <w:t>3、投标供应商须提供参与本次项目政府采购活动前三年内，在经营活动中没有重大违法记录的书面《无重大违法记录声明函》（格式参见第七章）。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4、关于资格文件的声明函（格式参见第七章）。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5、投标人认为需要提供的其他资料。</w:t>
      </w:r>
    </w:p>
    <w:p>
      <w:pPr>
        <w:spacing w:line="566" w:lineRule="exact"/>
        <w:ind w:firstLine="560" w:firstLineChars="200"/>
        <w:rPr>
          <w:rFonts w:ascii="宋体" w:hAnsi="宋体" w:cs="宋体"/>
          <w:sz w:val="28"/>
          <w:szCs w:val="28"/>
        </w:rPr>
      </w:pPr>
      <w:r>
        <w:rPr>
          <w:rFonts w:hint="eastAsia" w:ascii="宋体" w:hAnsi="宋体" w:cs="宋体"/>
          <w:sz w:val="28"/>
          <w:szCs w:val="28"/>
        </w:rPr>
        <w:t>二、商务标：按所投标段一正四副（按投标标段单独密封并牢固装订），不得出现在资格审查证明材料：</w:t>
      </w:r>
    </w:p>
    <w:p>
      <w:pPr>
        <w:spacing w:line="566" w:lineRule="exact"/>
        <w:ind w:firstLine="560" w:firstLineChars="200"/>
        <w:rPr>
          <w:rFonts w:ascii="宋体" w:hAnsi="宋体" w:cs="宋体"/>
          <w:sz w:val="28"/>
          <w:szCs w:val="28"/>
        </w:rPr>
      </w:pPr>
      <w:r>
        <w:rPr>
          <w:rFonts w:hint="eastAsia" w:ascii="宋体" w:hAnsi="宋体" w:cs="宋体"/>
          <w:sz w:val="28"/>
          <w:szCs w:val="28"/>
        </w:rPr>
        <w:t>1.投标人基本情况表（格式参见第七章）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2.商务条款响应及偏离表（格式参见第七章）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3.技术参数响应及偏离表（格式参见第七章）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4.供货一览表（格式参见第七章）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5.投标响应函（格式参见第七章）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6.开标一览表（格式参见第七章）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7.分项报价表（格式参见第七章）</w:t>
      </w:r>
    </w:p>
    <w:p>
      <w:pPr>
        <w:spacing w:line="566" w:lineRule="exact"/>
        <w:ind w:firstLine="560" w:firstLineChars="200"/>
        <w:rPr>
          <w:rFonts w:ascii="宋体" w:hAnsi="宋体" w:cs="宋体"/>
          <w:sz w:val="28"/>
          <w:szCs w:val="28"/>
        </w:rPr>
      </w:pPr>
      <w:r>
        <w:rPr>
          <w:rFonts w:hint="eastAsia" w:ascii="宋体" w:hAnsi="宋体" w:cs="宋体"/>
          <w:sz w:val="28"/>
          <w:szCs w:val="28"/>
        </w:rPr>
        <w:t>8.具体供货、运作方案和时间节点、售后服务等方案。</w:t>
      </w:r>
    </w:p>
    <w:p>
      <w:pPr>
        <w:pStyle w:val="97"/>
        <w:snapToGrid w:val="0"/>
        <w:spacing w:line="300" w:lineRule="auto"/>
        <w:ind w:firstLine="548" w:firstLineChars="196"/>
        <w:contextualSpacing/>
        <w:rPr>
          <w:rFonts w:ascii="仿宋" w:hAnsi="仿宋" w:eastAsia="仿宋"/>
          <w:snapToGrid w:val="0"/>
          <w:sz w:val="28"/>
          <w:szCs w:val="28"/>
        </w:rPr>
      </w:pPr>
    </w:p>
    <w:p/>
    <w:p/>
    <w:p/>
    <w:p/>
    <w:p/>
    <w:p/>
    <w:p/>
    <w:p/>
    <w:p/>
    <w:p/>
    <w:p/>
    <w:p/>
    <w:p>
      <w:pPr>
        <w:rPr>
          <w:rFonts w:ascii="宋体" w:hAnsi="宋体" w:cs="宋体"/>
          <w:sz w:val="44"/>
          <w:szCs w:val="44"/>
        </w:rPr>
      </w:pPr>
      <w:r>
        <w:rPr>
          <w:rFonts w:hint="eastAsia" w:ascii="宋体" w:hAnsi="宋体" w:cs="宋体"/>
          <w:sz w:val="44"/>
          <w:szCs w:val="44"/>
        </w:rPr>
        <w:br w:type="page"/>
      </w:r>
    </w:p>
    <w:p>
      <w:pPr>
        <w:pStyle w:val="3"/>
        <w:rPr>
          <w:rFonts w:ascii="宋体" w:hAnsi="宋体" w:eastAsia="宋体" w:cs="宋体"/>
          <w:sz w:val="44"/>
          <w:szCs w:val="44"/>
        </w:rPr>
      </w:pPr>
      <w:r>
        <w:rPr>
          <w:rFonts w:hint="eastAsia" w:ascii="宋体" w:hAnsi="宋体" w:eastAsia="宋体" w:cs="宋体"/>
          <w:sz w:val="44"/>
          <w:szCs w:val="44"/>
        </w:rPr>
        <w:t>第七章  投标</w:t>
      </w:r>
      <w:bookmarkEnd w:id="160"/>
      <w:bookmarkEnd w:id="161"/>
      <w:bookmarkEnd w:id="162"/>
      <w:r>
        <w:rPr>
          <w:rFonts w:hint="eastAsia" w:ascii="宋体" w:hAnsi="宋体" w:eastAsia="宋体" w:cs="宋体"/>
          <w:sz w:val="44"/>
          <w:szCs w:val="44"/>
        </w:rPr>
        <w:t xml:space="preserve">文件格式 </w:t>
      </w:r>
    </w:p>
    <w:p>
      <w:pPr>
        <w:jc w:val="center"/>
        <w:rPr>
          <w:rFonts w:ascii="宋体" w:hAnsi="宋体"/>
          <w:b/>
          <w:sz w:val="72"/>
        </w:rPr>
      </w:pPr>
      <w:bookmarkStart w:id="163" w:name="_Hlt26955039"/>
      <w:bookmarkEnd w:id="163"/>
      <w:bookmarkStart w:id="164" w:name="_Hlt26671244"/>
      <w:bookmarkEnd w:id="164"/>
      <w:bookmarkStart w:id="165" w:name="_Toc26554094"/>
      <w:bookmarkStart w:id="166" w:name="_Toc120614282"/>
      <w:bookmarkStart w:id="167" w:name="_Toc49090576"/>
    </w:p>
    <w:p>
      <w:pPr>
        <w:jc w:val="center"/>
        <w:rPr>
          <w:rFonts w:ascii="方正魏碑_GBK" w:hAnsi="宋体" w:eastAsia="方正魏碑_GBK"/>
          <w:sz w:val="72"/>
        </w:rPr>
      </w:pPr>
      <w:r>
        <w:rPr>
          <w:rFonts w:hint="eastAsia" w:ascii="方正魏碑_GBK" w:hAnsi="宋体" w:eastAsia="方正魏碑_GBK"/>
          <w:sz w:val="72"/>
        </w:rPr>
        <w:t>投  标  文  件</w:t>
      </w:r>
    </w:p>
    <w:p>
      <w:pPr>
        <w:jc w:val="center"/>
        <w:rPr>
          <w:rFonts w:ascii="宋体" w:hAnsi="宋体"/>
          <w:b/>
          <w:sz w:val="72"/>
        </w:rPr>
      </w:pPr>
    </w:p>
    <w:p>
      <w:pPr>
        <w:jc w:val="center"/>
        <w:rPr>
          <w:rFonts w:ascii="宋体" w:hAnsi="宋体"/>
          <w:b/>
          <w:sz w:val="72"/>
        </w:rPr>
      </w:pPr>
      <w:r>
        <w:rPr>
          <w:rFonts w:hint="eastAsia" w:ascii="宋体" w:hAnsi="宋体"/>
          <w:b/>
          <w:sz w:val="72"/>
        </w:rPr>
        <w:t>（资格审查文件/商务标）</w:t>
      </w: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800" w:firstLineChars="500"/>
        <w:rPr>
          <w:rFonts w:ascii="方正仿宋_GBK" w:hAnsi="宋体" w:eastAsia="方正仿宋_GBK"/>
          <w:sz w:val="36"/>
        </w:rPr>
      </w:pPr>
      <w:r>
        <w:rPr>
          <w:rFonts w:hint="eastAsia" w:ascii="方正仿宋_GBK" w:hAnsi="宋体" w:eastAsia="方正仿宋_GBK"/>
          <w:sz w:val="36"/>
        </w:rPr>
        <w:t>项 目 名 称：</w:t>
      </w:r>
    </w:p>
    <w:p>
      <w:pPr>
        <w:ind w:firstLine="1800" w:firstLineChars="500"/>
        <w:rPr>
          <w:rFonts w:ascii="方正仿宋_GBK" w:hAnsi="宋体" w:eastAsia="方正仿宋_GBK"/>
          <w:sz w:val="36"/>
          <w:u w:val="single"/>
        </w:rPr>
      </w:pPr>
      <w:r>
        <w:rPr>
          <w:rFonts w:hint="eastAsia" w:ascii="方正仿宋_GBK" w:hAnsi="宋体" w:eastAsia="方正仿宋_GBK"/>
          <w:sz w:val="36"/>
        </w:rPr>
        <w:t>招 标 编 号：</w:t>
      </w:r>
    </w:p>
    <w:p>
      <w:pPr>
        <w:rPr>
          <w:rFonts w:ascii="方正仿宋_GBK" w:hAnsi="宋体" w:eastAsia="方正仿宋_GBK"/>
          <w:sz w:val="36"/>
          <w:u w:val="single"/>
        </w:rPr>
      </w:pPr>
      <w:r>
        <w:rPr>
          <w:rFonts w:hint="eastAsia" w:ascii="方正仿宋_GBK" w:hAnsi="宋体" w:eastAsia="方正仿宋_GBK"/>
          <w:sz w:val="36"/>
        </w:rPr>
        <w:t xml:space="preserve">          投标人名称 ：</w:t>
      </w:r>
    </w:p>
    <w:p>
      <w:pPr>
        <w:rPr>
          <w:rFonts w:ascii="方正仿宋_GBK" w:hAnsi="宋体" w:eastAsia="方正仿宋_GBK"/>
          <w:sz w:val="36"/>
        </w:rPr>
      </w:pPr>
      <w:r>
        <w:rPr>
          <w:rFonts w:hint="eastAsia" w:ascii="方正仿宋_GBK" w:hAnsi="宋体" w:eastAsia="方正仿宋_GBK"/>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
      <w:pPr>
        <w:tabs>
          <w:tab w:val="left" w:pos="1945"/>
        </w:tabs>
        <w:spacing w:line="440" w:lineRule="exact"/>
        <w:rPr>
          <w:rFonts w:ascii="宋体" w:hAnsi="宋体"/>
          <w:sz w:val="24"/>
        </w:rPr>
      </w:pPr>
    </w:p>
    <w:bookmarkEnd w:id="165"/>
    <w:bookmarkEnd w:id="166"/>
    <w:bookmarkEnd w:id="167"/>
    <w:p>
      <w:pPr>
        <w:rPr>
          <w:rFonts w:ascii="宋体" w:hAnsi="宋体" w:cs="宋体"/>
          <w:b/>
          <w:bCs/>
          <w:sz w:val="24"/>
          <w:szCs w:val="24"/>
        </w:rPr>
      </w:pPr>
      <w:bookmarkStart w:id="168" w:name="_Toc120614284"/>
      <w:r>
        <w:rPr>
          <w:rFonts w:hint="eastAsia" w:ascii="宋体" w:hAnsi="宋体" w:cs="宋体"/>
          <w:b/>
          <w:bCs/>
          <w:sz w:val="24"/>
          <w:szCs w:val="24"/>
        </w:rPr>
        <w:br w:type="page"/>
      </w:r>
    </w:p>
    <w:p>
      <w:pPr>
        <w:rPr>
          <w:b/>
          <w:bCs/>
          <w:sz w:val="24"/>
          <w:szCs w:val="24"/>
        </w:rPr>
      </w:pPr>
      <w:r>
        <w:rPr>
          <w:rFonts w:hint="eastAsia"/>
          <w:b/>
          <w:bCs/>
          <w:sz w:val="24"/>
          <w:szCs w:val="24"/>
        </w:rPr>
        <w:t>资格审查文件：</w:t>
      </w:r>
    </w:p>
    <w:p>
      <w:pPr>
        <w:jc w:val="center"/>
        <w:rPr>
          <w:rFonts w:ascii="宋体" w:hAnsi="宋体" w:cs="宋体"/>
          <w:sz w:val="36"/>
          <w:szCs w:val="36"/>
        </w:rPr>
      </w:pPr>
      <w:r>
        <w:rPr>
          <w:rFonts w:hint="eastAsia" w:ascii="宋体" w:hAnsi="宋体" w:cs="宋体"/>
          <w:sz w:val="36"/>
          <w:szCs w:val="36"/>
        </w:rPr>
        <w:t>1、法定代表人身份证明</w:t>
      </w:r>
    </w:p>
    <w:p>
      <w:pPr>
        <w:snapToGrid w:val="0"/>
        <w:spacing w:line="520" w:lineRule="exact"/>
        <w:jc w:val="center"/>
        <w:rPr>
          <w:rFonts w:ascii="宋体" w:hAnsi="宋体" w:cs="宋体"/>
          <w:sz w:val="24"/>
          <w:szCs w:val="24"/>
        </w:rPr>
      </w:pPr>
      <w:r>
        <w:rPr>
          <w:rFonts w:hint="eastAsia" w:ascii="宋体" w:hAnsi="宋体" w:cs="宋体"/>
          <w:sz w:val="24"/>
          <w:szCs w:val="24"/>
        </w:rPr>
        <w:t>（法定代表人参加投标，须出示此证明）</w:t>
      </w:r>
    </w:p>
    <w:p>
      <w:pPr>
        <w:snapToGrid w:val="0"/>
        <w:spacing w:line="520" w:lineRule="exact"/>
        <w:jc w:val="center"/>
        <w:rPr>
          <w:rFonts w:ascii="宋体" w:hAnsi="宋体" w:cs="宋体"/>
          <w:sz w:val="24"/>
          <w:szCs w:val="24"/>
        </w:rPr>
      </w:pPr>
    </w:p>
    <w:p>
      <w:pPr>
        <w:snapToGrid w:val="0"/>
        <w:spacing w:line="520" w:lineRule="exact"/>
        <w:rPr>
          <w:rFonts w:ascii="宋体" w:hAnsi="宋体" w:cs="宋体"/>
          <w:sz w:val="24"/>
          <w:szCs w:val="24"/>
        </w:rPr>
      </w:pPr>
      <w:r>
        <w:rPr>
          <w:rFonts w:hint="eastAsia" w:ascii="方正仿宋_GBK"/>
          <w:sz w:val="24"/>
          <w:szCs w:val="24"/>
          <w:u w:val="single"/>
        </w:rPr>
        <w:t>南通市发展和改革委员会</w:t>
      </w:r>
      <w:r>
        <w:rPr>
          <w:rFonts w:hint="eastAsia" w:ascii="宋体" w:hAnsi="宋体" w:cs="宋体"/>
          <w:sz w:val="24"/>
          <w:szCs w:val="24"/>
        </w:rPr>
        <w:t>：</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xml:space="preserve">     　　　   </w:t>
      </w:r>
      <w:r>
        <w:rPr>
          <w:rFonts w:hint="eastAsia" w:ascii="宋体" w:hAnsi="宋体" w:cs="宋体"/>
          <w:sz w:val="24"/>
          <w:szCs w:val="24"/>
        </w:rPr>
        <w:t>参加贵单位组织的（项目名称和项目编号)项目的开标活动，全权代表我公司处理该磋商活动的有关事宜。</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附：法定代表人情况：</w:t>
      </w:r>
    </w:p>
    <w:p>
      <w:pPr>
        <w:snapToGrid w:val="0"/>
        <w:spacing w:line="520" w:lineRule="exact"/>
        <w:rPr>
          <w:rFonts w:ascii="宋体" w:hAnsi="宋体" w:cs="宋体"/>
          <w:sz w:val="24"/>
          <w:szCs w:val="24"/>
          <w:u w:val="single"/>
        </w:rPr>
      </w:pPr>
      <w:r>
        <w:rPr>
          <w:rFonts w:hint="eastAsia" w:ascii="宋体" w:hAnsi="宋体" w:cs="宋体"/>
          <w:sz w:val="24"/>
          <w:szCs w:val="24"/>
        </w:rPr>
        <w:t>姓名：性别：年龄：职务：</w:t>
      </w:r>
    </w:p>
    <w:p>
      <w:pPr>
        <w:snapToGrid w:val="0"/>
        <w:spacing w:line="520" w:lineRule="exact"/>
        <w:rPr>
          <w:rFonts w:ascii="宋体" w:hAnsi="宋体" w:cs="宋体"/>
          <w:sz w:val="24"/>
          <w:szCs w:val="24"/>
        </w:rPr>
      </w:pPr>
      <w:r>
        <w:rPr>
          <w:rFonts w:hint="eastAsia" w:ascii="宋体" w:hAnsi="宋体" w:cs="宋体"/>
          <w:sz w:val="24"/>
          <w:szCs w:val="24"/>
        </w:rPr>
        <w:t>身份证号码：</w:t>
      </w:r>
    </w:p>
    <w:p>
      <w:pPr>
        <w:snapToGrid w:val="0"/>
        <w:spacing w:line="520" w:lineRule="exact"/>
        <w:rPr>
          <w:rFonts w:ascii="宋体" w:hAnsi="宋体" w:cs="宋体"/>
          <w:sz w:val="24"/>
          <w:szCs w:val="24"/>
        </w:rPr>
      </w:pPr>
      <w:r>
        <w:rPr>
          <w:rFonts w:hint="eastAsia" w:ascii="宋体" w:hAnsi="宋体" w:cs="宋体"/>
          <w:sz w:val="24"/>
          <w:szCs w:val="24"/>
        </w:rPr>
        <w:t>手机：传真：</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ind w:firstLine="2280" w:firstLineChars="950"/>
        <w:rPr>
          <w:rFonts w:ascii="宋体" w:hAnsi="宋体" w:cs="宋体"/>
          <w:sz w:val="24"/>
          <w:szCs w:val="24"/>
        </w:rPr>
      </w:pPr>
      <w:r>
        <w:rPr>
          <w:rFonts w:hint="eastAsia" w:ascii="宋体" w:hAnsi="宋体" w:cs="宋体"/>
          <w:sz w:val="24"/>
          <w:szCs w:val="24"/>
        </w:rPr>
        <w:t>（粘贴此处）</w:t>
      </w:r>
    </w:p>
    <w:p>
      <w:pPr>
        <w:snapToGrid w:val="0"/>
        <w:spacing w:line="520" w:lineRule="exact"/>
        <w:ind w:firstLine="482" w:firstLineChars="200"/>
        <w:rPr>
          <w:rFonts w:ascii="宋体" w:hAnsi="宋体" w:cs="宋体"/>
          <w:b/>
          <w:bCs/>
          <w:sz w:val="24"/>
          <w:szCs w:val="24"/>
        </w:rPr>
      </w:pPr>
      <w:r>
        <w:rPr>
          <w:rFonts w:hint="eastAsia" w:ascii="宋体" w:hAnsi="宋体" w:cs="宋体"/>
          <w:b/>
          <w:bCs/>
          <w:sz w:val="24"/>
          <w:szCs w:val="24"/>
        </w:rPr>
        <w:t>注:参加开标活动时法定代表人将身份证原件带至开标现场备查。</w:t>
      </w:r>
    </w:p>
    <w:p>
      <w:pPr>
        <w:rPr>
          <w:rFonts w:ascii="宋体" w:hAnsi="宋体" w:cs="宋体"/>
          <w:b/>
          <w:bCs/>
          <w:sz w:val="24"/>
          <w:szCs w:val="24"/>
        </w:rPr>
      </w:pPr>
      <w:r>
        <w:rPr>
          <w:rFonts w:hint="eastAsia" w:ascii="宋体" w:hAnsi="宋体" w:cs="宋体"/>
          <w:b/>
          <w:bCs/>
          <w:sz w:val="24"/>
          <w:szCs w:val="24"/>
        </w:rPr>
        <w:br w:type="page"/>
      </w:r>
      <w:r>
        <w:rPr>
          <w:rFonts w:hint="eastAsia" w:ascii="方正黑体_GBK" w:hAnsi="宋体" w:eastAsia="方正黑体_GBK"/>
          <w:sz w:val="36"/>
          <w:szCs w:val="36"/>
        </w:rPr>
        <w:t>2、授权委托书</w:t>
      </w:r>
    </w:p>
    <w:p>
      <w:pPr>
        <w:snapToGrid w:val="0"/>
        <w:spacing w:line="520" w:lineRule="exact"/>
        <w:jc w:val="center"/>
        <w:rPr>
          <w:rFonts w:ascii="宋体" w:hAnsi="宋体" w:cs="宋体"/>
          <w:sz w:val="24"/>
          <w:szCs w:val="24"/>
        </w:rPr>
      </w:pPr>
      <w:r>
        <w:rPr>
          <w:rFonts w:hint="eastAsia" w:ascii="宋体" w:hAnsi="宋体" w:cs="宋体"/>
          <w:sz w:val="24"/>
          <w:szCs w:val="24"/>
        </w:rPr>
        <w:t>（委托代理人参加投标，须出示此证明）</w:t>
      </w:r>
    </w:p>
    <w:p>
      <w:pPr>
        <w:snapToGrid w:val="0"/>
        <w:spacing w:line="520" w:lineRule="exact"/>
        <w:rPr>
          <w:rFonts w:ascii="宋体" w:hAnsi="宋体" w:cs="宋体"/>
          <w:bCs/>
          <w:sz w:val="24"/>
          <w:szCs w:val="24"/>
        </w:rPr>
      </w:pPr>
      <w:r>
        <w:rPr>
          <w:rFonts w:hint="eastAsia" w:ascii="方正仿宋_GBK"/>
          <w:sz w:val="24"/>
          <w:szCs w:val="24"/>
          <w:u w:val="single"/>
        </w:rPr>
        <w:t>南通市发展和改革委员会</w:t>
      </w:r>
      <w:r>
        <w:rPr>
          <w:rFonts w:hint="eastAsia" w:ascii="宋体" w:hAnsi="宋体" w:cs="宋体"/>
          <w:sz w:val="24"/>
          <w:szCs w:val="24"/>
        </w:rPr>
        <w:t>：</w:t>
      </w:r>
    </w:p>
    <w:p>
      <w:pPr>
        <w:snapToGrid w:val="0"/>
        <w:spacing w:line="520" w:lineRule="exact"/>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被授权人的姓名）代表我公司参加（项目名称和项目编号)项目的开标活动，全权处理一切与该项目磋商有关的事务。其在办理上述事宜过程中所签署的所有文件我公司均予以承认。</w:t>
      </w:r>
    </w:p>
    <w:p>
      <w:pPr>
        <w:snapToGrid w:val="0"/>
        <w:spacing w:line="520" w:lineRule="exact"/>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520" w:lineRule="exact"/>
        <w:ind w:left="1" w:firstLine="480" w:firstLineChars="200"/>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附：被授权人情况：</w:t>
      </w:r>
    </w:p>
    <w:p>
      <w:pPr>
        <w:snapToGrid w:val="0"/>
        <w:spacing w:line="520" w:lineRule="exact"/>
        <w:rPr>
          <w:rFonts w:ascii="宋体" w:hAnsi="宋体" w:cs="宋体"/>
          <w:sz w:val="24"/>
          <w:szCs w:val="24"/>
          <w:u w:val="single"/>
        </w:rPr>
      </w:pPr>
      <w:r>
        <w:rPr>
          <w:rFonts w:hint="eastAsia" w:ascii="宋体" w:hAnsi="宋体" w:cs="宋体"/>
          <w:sz w:val="24"/>
          <w:szCs w:val="24"/>
        </w:rPr>
        <w:t>姓名：性别：年龄：职务：</w:t>
      </w:r>
    </w:p>
    <w:p>
      <w:pPr>
        <w:snapToGrid w:val="0"/>
        <w:spacing w:line="520" w:lineRule="exact"/>
        <w:rPr>
          <w:rFonts w:ascii="宋体" w:hAnsi="宋体" w:cs="宋体"/>
          <w:sz w:val="24"/>
          <w:szCs w:val="24"/>
        </w:rPr>
      </w:pPr>
      <w:r>
        <w:rPr>
          <w:rFonts w:hint="eastAsia" w:ascii="宋体" w:hAnsi="宋体" w:cs="宋体"/>
          <w:sz w:val="24"/>
          <w:szCs w:val="24"/>
        </w:rPr>
        <w:t>身份证号码：</w:t>
      </w:r>
    </w:p>
    <w:p>
      <w:pPr>
        <w:snapToGrid w:val="0"/>
        <w:spacing w:line="520" w:lineRule="exact"/>
        <w:rPr>
          <w:rFonts w:ascii="宋体" w:hAnsi="宋体" w:cs="宋体"/>
          <w:sz w:val="24"/>
          <w:szCs w:val="24"/>
        </w:rPr>
      </w:pPr>
      <w:r>
        <w:rPr>
          <w:rFonts w:hint="eastAsia" w:ascii="宋体" w:hAnsi="宋体" w:cs="宋体"/>
          <w:sz w:val="24"/>
          <w:szCs w:val="24"/>
        </w:rPr>
        <w:t>手机：传真：</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pPr>
        <w:snapToGrid w:val="0"/>
        <w:spacing w:line="520" w:lineRule="exact"/>
        <w:rPr>
          <w:rFonts w:ascii="宋体" w:hAnsi="宋体" w:cs="宋体"/>
          <w:sz w:val="24"/>
          <w:szCs w:val="24"/>
        </w:rPr>
      </w:pPr>
    </w:p>
    <w:p>
      <w:pPr>
        <w:snapToGrid w:val="0"/>
        <w:spacing w:line="520" w:lineRule="exact"/>
        <w:ind w:firstLine="3960" w:firstLineChars="1650"/>
        <w:rPr>
          <w:rFonts w:ascii="宋体" w:hAnsi="宋体" w:cs="宋体"/>
          <w:sz w:val="24"/>
          <w:szCs w:val="24"/>
        </w:rPr>
      </w:pPr>
      <w:r>
        <w:rPr>
          <w:rFonts w:hint="eastAsia" w:ascii="宋体" w:hAnsi="宋体" w:cs="宋体"/>
          <w:sz w:val="24"/>
          <w:szCs w:val="24"/>
        </w:rPr>
        <w:t>（粘贴此处）</w:t>
      </w:r>
    </w:p>
    <w:p>
      <w:pPr>
        <w:snapToGrid w:val="0"/>
        <w:spacing w:line="520" w:lineRule="exact"/>
        <w:rPr>
          <w:rFonts w:ascii="宋体" w:hAnsi="宋体" w:cs="宋体"/>
          <w:sz w:val="24"/>
          <w:szCs w:val="24"/>
        </w:rPr>
      </w:pPr>
      <w:r>
        <w:rPr>
          <w:rFonts w:hint="eastAsia" w:ascii="宋体" w:hAnsi="宋体" w:cs="宋体"/>
          <w:sz w:val="24"/>
          <w:szCs w:val="24"/>
        </w:rPr>
        <w:t>被授权人身份证复印件</w:t>
      </w:r>
    </w:p>
    <w:p>
      <w:pPr>
        <w:snapToGrid w:val="0"/>
        <w:spacing w:line="520" w:lineRule="exact"/>
        <w:rPr>
          <w:rFonts w:ascii="宋体" w:hAnsi="宋体" w:cs="宋体"/>
          <w:sz w:val="24"/>
          <w:szCs w:val="24"/>
        </w:rPr>
      </w:pPr>
    </w:p>
    <w:p>
      <w:pPr>
        <w:snapToGrid w:val="0"/>
        <w:spacing w:line="520" w:lineRule="exact"/>
        <w:jc w:val="center"/>
        <w:rPr>
          <w:rFonts w:ascii="宋体" w:hAnsi="宋体" w:cs="宋体"/>
          <w:sz w:val="24"/>
          <w:szCs w:val="24"/>
        </w:rPr>
      </w:pPr>
    </w:p>
    <w:p>
      <w:pPr>
        <w:snapToGrid w:val="0"/>
        <w:spacing w:line="520" w:lineRule="exact"/>
        <w:jc w:val="center"/>
        <w:rPr>
          <w:rFonts w:ascii="宋体" w:hAnsi="宋体" w:cs="宋体"/>
          <w:b/>
          <w:bCs/>
          <w:sz w:val="24"/>
          <w:szCs w:val="24"/>
        </w:rPr>
      </w:pPr>
      <w:r>
        <w:rPr>
          <w:rFonts w:hint="eastAsia" w:ascii="宋体" w:hAnsi="宋体" w:cs="宋体"/>
          <w:sz w:val="24"/>
          <w:szCs w:val="24"/>
        </w:rPr>
        <w:t>（粘贴此处）</w:t>
      </w:r>
    </w:p>
    <w:p>
      <w:pPr>
        <w:snapToGrid w:val="0"/>
        <w:spacing w:line="520" w:lineRule="exact"/>
        <w:ind w:firstLine="482" w:firstLineChars="200"/>
        <w:jc w:val="center"/>
        <w:rPr>
          <w:rFonts w:ascii="宋体" w:hAnsi="宋体" w:cs="宋体"/>
          <w:b/>
          <w:bCs/>
          <w:sz w:val="24"/>
          <w:szCs w:val="24"/>
        </w:rPr>
      </w:pPr>
      <w:r>
        <w:rPr>
          <w:rFonts w:hint="eastAsia" w:ascii="宋体" w:hAnsi="宋体" w:cs="宋体"/>
          <w:b/>
          <w:bCs/>
          <w:sz w:val="24"/>
          <w:szCs w:val="24"/>
        </w:rPr>
        <w:t>注:参加开标活动时被授权人将身份证原件带至开标现场备查。</w:t>
      </w:r>
    </w:p>
    <w:p>
      <w:pPr>
        <w:jc w:val="center"/>
        <w:rPr>
          <w:rFonts w:ascii="宋体" w:hAnsi="宋体" w:cs="宋体"/>
          <w:b/>
          <w:bCs/>
          <w:sz w:val="44"/>
          <w:szCs w:val="44"/>
        </w:rPr>
      </w:pPr>
      <w:r>
        <w:rPr>
          <w:rFonts w:hint="eastAsia" w:ascii="宋体" w:hAnsi="宋体" w:cs="宋体"/>
          <w:b/>
          <w:bCs/>
          <w:sz w:val="28"/>
          <w:szCs w:val="28"/>
        </w:rPr>
        <w:br w:type="page"/>
      </w:r>
      <w:r>
        <w:rPr>
          <w:rFonts w:hint="eastAsia" w:ascii="宋体" w:hAnsi="宋体" w:cs="宋体"/>
          <w:sz w:val="44"/>
          <w:szCs w:val="44"/>
        </w:rPr>
        <w:t>3、无重大违法记录声明</w:t>
      </w:r>
    </w:p>
    <w:p>
      <w:pPr>
        <w:snapToGrid w:val="0"/>
        <w:spacing w:line="360" w:lineRule="auto"/>
        <w:rPr>
          <w:rFonts w:hint="eastAsia" w:ascii="宋体" w:hAnsi="宋体" w:cs="宋体"/>
          <w:bCs/>
          <w:sz w:val="24"/>
          <w:szCs w:val="24"/>
        </w:rPr>
      </w:pPr>
    </w:p>
    <w:p>
      <w:pPr>
        <w:snapToGrid w:val="0"/>
        <w:spacing w:line="360" w:lineRule="auto"/>
        <w:rPr>
          <w:rFonts w:ascii="宋体" w:hAnsi="宋体" w:cs="宋体"/>
          <w:bCs/>
          <w:sz w:val="24"/>
          <w:szCs w:val="24"/>
        </w:rPr>
      </w:pPr>
      <w:r>
        <w:rPr>
          <w:rFonts w:hint="eastAsia" w:ascii="宋体" w:hAnsi="宋体" w:cs="宋体"/>
          <w:bCs/>
          <w:sz w:val="24"/>
          <w:szCs w:val="24"/>
        </w:rPr>
        <w:t>：</w:t>
      </w:r>
    </w:p>
    <w:p>
      <w:pPr>
        <w:spacing w:line="360" w:lineRule="auto"/>
        <w:rPr>
          <w:rFonts w:ascii="宋体" w:hAnsi="宋体" w:cs="宋体"/>
          <w:sz w:val="24"/>
          <w:szCs w:val="24"/>
        </w:rPr>
      </w:pPr>
      <w:r>
        <w:rPr>
          <w:rFonts w:hint="eastAsia" w:ascii="宋体" w:hAnsi="宋体" w:cs="宋体"/>
          <w:sz w:val="24"/>
          <w:szCs w:val="24"/>
        </w:rPr>
        <w:t xml:space="preserve">    我单位（供应商名称）郑重声明：</w:t>
      </w:r>
    </w:p>
    <w:p>
      <w:pPr>
        <w:spacing w:line="360" w:lineRule="auto"/>
        <w:rPr>
          <w:rFonts w:ascii="宋体" w:hAnsi="宋体" w:cs="宋体"/>
          <w:sz w:val="24"/>
          <w:szCs w:val="24"/>
        </w:rPr>
      </w:pPr>
      <w:r>
        <w:rPr>
          <w:rFonts w:hint="eastAsia" w:ascii="宋体" w:hAnsi="宋体" w:cs="宋体"/>
          <w:sz w:val="24"/>
          <w:szCs w:val="24"/>
        </w:rPr>
        <w:t xml:space="preserve">    参加政府采购活动前3年内在经营活动中（在下划线上如实填写：有或没有）重大违法记录。</w:t>
      </w:r>
    </w:p>
    <w:p>
      <w:pPr>
        <w:spacing w:line="360" w:lineRule="auto"/>
        <w:ind w:firstLine="480"/>
        <w:rPr>
          <w:rFonts w:ascii="宋体" w:hAnsi="宋体" w:cs="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宋体"/>
          <w:sz w:val="24"/>
          <w:szCs w:val="24"/>
        </w:rPr>
      </w:pPr>
      <w:r>
        <w:rPr>
          <w:rFonts w:hint="eastAsia" w:ascii="宋体" w:hAnsi="宋体" w:cs="宋体"/>
          <w:sz w:val="24"/>
          <w:szCs w:val="24"/>
        </w:rPr>
        <w:t xml:space="preserve">                                                        声明人：（公章）</w:t>
      </w:r>
    </w:p>
    <w:p>
      <w:pPr>
        <w:tabs>
          <w:tab w:val="left" w:pos="4050"/>
        </w:tabs>
        <w:spacing w:line="500" w:lineRule="exact"/>
        <w:jc w:val="center"/>
        <w:rPr>
          <w:rFonts w:ascii="宋体" w:hAnsi="宋体" w:cs="宋体"/>
          <w:sz w:val="24"/>
          <w:szCs w:val="24"/>
        </w:rPr>
      </w:pPr>
      <w:r>
        <w:rPr>
          <w:rFonts w:hint="eastAsia" w:ascii="宋体" w:hAnsi="宋体" w:cs="宋体"/>
          <w:sz w:val="24"/>
          <w:szCs w:val="24"/>
        </w:rPr>
        <w:t xml:space="preserve">                                                  年     月    日</w:t>
      </w:r>
    </w:p>
    <w:p>
      <w:pPr>
        <w:tabs>
          <w:tab w:val="left" w:pos="4050"/>
        </w:tabs>
        <w:spacing w:line="500" w:lineRule="exact"/>
        <w:ind w:firstLine="484" w:firstLineChars="202"/>
        <w:jc w:val="center"/>
        <w:rPr>
          <w:rFonts w:ascii="宋体" w:hAnsi="宋体" w:cs="宋体"/>
          <w:sz w:val="24"/>
          <w:szCs w:val="24"/>
        </w:rPr>
      </w:pPr>
    </w:p>
    <w:p>
      <w:pPr>
        <w:jc w:val="center"/>
        <w:rPr>
          <w:rFonts w:ascii="宋体" w:hAnsi="宋体" w:cs="宋体"/>
          <w:sz w:val="44"/>
          <w:szCs w:val="44"/>
        </w:rPr>
      </w:pPr>
      <w:r>
        <w:rPr>
          <w:rFonts w:hint="eastAsia" w:ascii="宋体" w:hAnsi="宋体" w:cs="宋体"/>
          <w:sz w:val="44"/>
          <w:szCs w:val="44"/>
        </w:rPr>
        <w:t>4、关于资格文件的声明函</w:t>
      </w:r>
    </w:p>
    <w:p>
      <w:pPr>
        <w:pStyle w:val="5"/>
        <w:overflowPunct w:val="0"/>
        <w:spacing w:line="520" w:lineRule="exact"/>
        <w:jc w:val="center"/>
        <w:rPr>
          <w:rFonts w:ascii="宋体" w:hAnsi="宋体" w:eastAsia="宋体" w:cs="宋体"/>
          <w:sz w:val="28"/>
          <w:szCs w:val="28"/>
        </w:rPr>
      </w:pPr>
    </w:p>
    <w:p>
      <w:pPr>
        <w:pStyle w:val="5"/>
        <w:overflowPunct w:val="0"/>
        <w:spacing w:line="520" w:lineRule="exact"/>
        <w:ind w:firstLine="0"/>
        <w:rPr>
          <w:rFonts w:ascii="宋体" w:hAnsi="宋体" w:eastAsia="宋体" w:cs="宋体"/>
          <w:szCs w:val="24"/>
        </w:rPr>
      </w:pPr>
      <w:r>
        <w:rPr>
          <w:rFonts w:hint="eastAsia" w:ascii="宋体" w:hAnsi="宋体" w:eastAsia="宋体" w:cs="宋体"/>
          <w:szCs w:val="24"/>
        </w:rPr>
        <w:t>：</w:t>
      </w:r>
    </w:p>
    <w:p>
      <w:pPr>
        <w:pStyle w:val="5"/>
        <w:overflowPunct w:val="0"/>
        <w:spacing w:line="520" w:lineRule="exact"/>
        <w:ind w:firstLine="660"/>
        <w:rPr>
          <w:rFonts w:ascii="宋体" w:hAnsi="宋体" w:eastAsia="宋体" w:cs="宋体"/>
          <w:szCs w:val="24"/>
        </w:rPr>
      </w:pPr>
      <w:r>
        <w:rPr>
          <w:rFonts w:hint="eastAsia" w:ascii="宋体" w:hAnsi="宋体" w:eastAsia="宋体" w:cs="宋体"/>
          <w:szCs w:val="24"/>
        </w:rPr>
        <w:t>本公司愿就由贵单位组织实施的（招标项目名称)招标活动进行投标。本公司所提交的投标文件中所有关于投标资格的文件、证明和陈述均是真实的、准确的。若与真实情况不符，本公司愿意承担由此而产生的一切后果。</w:t>
      </w:r>
    </w:p>
    <w:p>
      <w:pPr>
        <w:pStyle w:val="5"/>
        <w:overflowPunct w:val="0"/>
        <w:spacing w:line="520" w:lineRule="exact"/>
        <w:rPr>
          <w:rFonts w:ascii="宋体" w:hAnsi="宋体" w:eastAsia="宋体" w:cs="宋体"/>
          <w:szCs w:val="24"/>
        </w:rPr>
      </w:pPr>
    </w:p>
    <w:p>
      <w:pPr>
        <w:pStyle w:val="5"/>
        <w:overflowPunct w:val="0"/>
        <w:spacing w:line="520" w:lineRule="exact"/>
        <w:rPr>
          <w:rFonts w:ascii="宋体" w:hAnsi="宋体" w:eastAsia="宋体" w:cs="宋体"/>
          <w:szCs w:val="24"/>
        </w:rPr>
      </w:pPr>
    </w:p>
    <w:p>
      <w:pPr>
        <w:pStyle w:val="5"/>
        <w:overflowPunct w:val="0"/>
        <w:spacing w:line="520" w:lineRule="exact"/>
        <w:rPr>
          <w:rFonts w:ascii="宋体" w:hAnsi="宋体" w:eastAsia="宋体" w:cs="宋体"/>
          <w:szCs w:val="24"/>
        </w:rPr>
      </w:pPr>
    </w:p>
    <w:p>
      <w:pPr>
        <w:pStyle w:val="5"/>
        <w:overflowPunct w:val="0"/>
        <w:spacing w:line="520" w:lineRule="exact"/>
        <w:rPr>
          <w:rFonts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（投标供应商）法定代表人（签字或盖章）：</w:t>
      </w:r>
    </w:p>
    <w:p>
      <w:pPr>
        <w:pStyle w:val="5"/>
        <w:overflowPunct w:val="0"/>
        <w:spacing w:line="520" w:lineRule="exact"/>
        <w:ind w:left="1700" w:firstLine="425"/>
        <w:rPr>
          <w:rFonts w:ascii="宋体" w:hAnsi="宋体" w:eastAsia="宋体" w:cs="宋体"/>
          <w:szCs w:val="24"/>
        </w:rPr>
      </w:pPr>
    </w:p>
    <w:p>
      <w:pPr>
        <w:pStyle w:val="5"/>
        <w:overflowPunct w:val="0"/>
        <w:spacing w:line="520" w:lineRule="exact"/>
        <w:ind w:left="1700" w:firstLine="425"/>
        <w:rPr>
          <w:rFonts w:ascii="宋体" w:hAnsi="宋体" w:eastAsia="宋体" w:cs="宋体"/>
          <w:szCs w:val="24"/>
        </w:rPr>
      </w:pPr>
      <w:r>
        <w:rPr>
          <w:rFonts w:hint="eastAsia" w:ascii="宋体" w:hAnsi="宋体" w:eastAsia="宋体" w:cs="宋体"/>
          <w:szCs w:val="24"/>
        </w:rPr>
        <w:t xml:space="preserve">        （投标供应商）公章：</w:t>
      </w:r>
    </w:p>
    <w:p>
      <w:pPr>
        <w:pStyle w:val="5"/>
        <w:overflowPunct w:val="0"/>
        <w:spacing w:line="520" w:lineRule="exact"/>
        <w:rPr>
          <w:rFonts w:ascii="宋体" w:hAnsi="宋体" w:eastAsia="宋体" w:cs="宋体"/>
          <w:szCs w:val="24"/>
        </w:rPr>
      </w:pPr>
    </w:p>
    <w:p>
      <w:pPr>
        <w:pStyle w:val="5"/>
        <w:overflowPunct w:val="0"/>
        <w:spacing w:line="520" w:lineRule="exact"/>
        <w:ind w:right="560"/>
        <w:rPr>
          <w:rFonts w:ascii="宋体" w:hAnsi="宋体" w:eastAsia="宋体" w:cs="宋体"/>
          <w:szCs w:val="24"/>
        </w:rPr>
      </w:pPr>
      <w:r>
        <w:rPr>
          <w:rFonts w:hint="eastAsia" w:ascii="宋体" w:hAnsi="宋体" w:eastAsia="宋体" w:cs="宋体"/>
          <w:szCs w:val="24"/>
        </w:rPr>
        <w:t xml:space="preserve">                                       年</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pPr>
        <w:spacing w:line="566" w:lineRule="exact"/>
        <w:ind w:firstLine="480" w:firstLineChars="200"/>
        <w:rPr>
          <w:rFonts w:ascii="宋体" w:hAnsi="宋体"/>
          <w:bCs/>
          <w:sz w:val="24"/>
        </w:rPr>
      </w:pPr>
      <w:r>
        <w:rPr>
          <w:rFonts w:hint="eastAsia" w:ascii="宋体" w:hAnsi="宋体" w:cs="宋体"/>
          <w:sz w:val="24"/>
          <w:szCs w:val="24"/>
        </w:rPr>
        <w:br w:type="page"/>
      </w:r>
    </w:p>
    <w:p>
      <w:pPr>
        <w:spacing w:line="566" w:lineRule="exact"/>
        <w:rPr>
          <w:rFonts w:ascii="Times New Roman" w:hAnsi="Times New Roman" w:eastAsia="方正仿宋_GBK"/>
          <w:bCs/>
          <w:sz w:val="32"/>
          <w:szCs w:val="32"/>
        </w:rPr>
      </w:pPr>
      <w:r>
        <w:rPr>
          <w:rFonts w:hint="eastAsia" w:ascii="Times New Roman" w:hAnsi="Times New Roman" w:eastAsia="方正仿宋_GBK"/>
          <w:bCs/>
          <w:sz w:val="32"/>
          <w:szCs w:val="32"/>
        </w:rPr>
        <w:t>商务标文件：</w:t>
      </w:r>
    </w:p>
    <w:p>
      <w:pPr>
        <w:jc w:val="center"/>
        <w:rPr>
          <w:rFonts w:ascii="宋体" w:hAnsi="宋体" w:cs="宋体"/>
          <w:sz w:val="36"/>
          <w:szCs w:val="36"/>
        </w:rPr>
      </w:pPr>
      <w:r>
        <w:rPr>
          <w:rFonts w:hint="eastAsia" w:ascii="宋体" w:hAnsi="宋体" w:cs="宋体"/>
          <w:sz w:val="36"/>
          <w:szCs w:val="36"/>
        </w:rPr>
        <w:t>1.投标人基本情况表</w:t>
      </w:r>
    </w:p>
    <w:tbl>
      <w:tblPr>
        <w:tblStyle w:val="36"/>
        <w:tblW w:w="9269" w:type="dxa"/>
        <w:jc w:val="center"/>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448"/>
        <w:gridCol w:w="547"/>
        <w:gridCol w:w="872"/>
        <w:gridCol w:w="1794"/>
        <w:gridCol w:w="167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p>
        </w:tc>
        <w:tc>
          <w:tcPr>
            <w:tcW w:w="7797" w:type="dxa"/>
            <w:gridSpan w:val="6"/>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448" w:type="dxa"/>
          </w:tcPr>
          <w:p>
            <w:pPr>
              <w:rPr>
                <w:rFonts w:asciiTheme="minorEastAsia" w:hAnsiTheme="minorEastAsia" w:eastAsiaTheme="minorEastAsia" w:cstheme="minorEastAsia"/>
                <w:sz w:val="24"/>
                <w:szCs w:val="24"/>
              </w:rPr>
            </w:pPr>
          </w:p>
        </w:tc>
        <w:tc>
          <w:tcPr>
            <w:tcW w:w="1419"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794" w:type="dxa"/>
          </w:tcPr>
          <w:p>
            <w:pPr>
              <w:rPr>
                <w:rFonts w:asciiTheme="minorEastAsia" w:hAnsiTheme="minorEastAsia" w:eastAsiaTheme="minorEastAsia" w:cstheme="minorEastAsia"/>
                <w:sz w:val="24"/>
                <w:szCs w:val="24"/>
              </w:rPr>
            </w:pPr>
          </w:p>
        </w:tc>
        <w:tc>
          <w:tcPr>
            <w:tcW w:w="167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466" w:type="dxa"/>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7797" w:type="dxa"/>
            <w:gridSpan w:val="6"/>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所有制类别</w:t>
            </w:r>
          </w:p>
        </w:tc>
        <w:tc>
          <w:tcPr>
            <w:tcW w:w="1448" w:type="dxa"/>
          </w:tcPr>
          <w:p>
            <w:pPr>
              <w:rPr>
                <w:rFonts w:asciiTheme="minorEastAsia" w:hAnsiTheme="minorEastAsia" w:eastAsiaTheme="minorEastAsia" w:cstheme="minorEastAsia"/>
                <w:sz w:val="24"/>
                <w:szCs w:val="24"/>
              </w:rPr>
            </w:pPr>
          </w:p>
        </w:tc>
        <w:tc>
          <w:tcPr>
            <w:tcW w:w="1419"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4930" w:type="dxa"/>
            <w:gridSpan w:val="3"/>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w:t>
            </w:r>
          </w:p>
        </w:tc>
        <w:tc>
          <w:tcPr>
            <w:tcW w:w="1448" w:type="dxa"/>
          </w:tcPr>
          <w:p>
            <w:pPr>
              <w:rPr>
                <w:rFonts w:asciiTheme="minorEastAsia" w:hAnsiTheme="minorEastAsia" w:eastAsiaTheme="minorEastAsia" w:cstheme="minorEastAsia"/>
                <w:sz w:val="24"/>
                <w:szCs w:val="24"/>
              </w:rPr>
            </w:pPr>
          </w:p>
        </w:tc>
        <w:tc>
          <w:tcPr>
            <w:tcW w:w="1419"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证号</w:t>
            </w:r>
          </w:p>
        </w:tc>
        <w:tc>
          <w:tcPr>
            <w:tcW w:w="1794" w:type="dxa"/>
          </w:tcPr>
          <w:p>
            <w:pPr>
              <w:rPr>
                <w:rFonts w:asciiTheme="minorEastAsia" w:hAnsiTheme="minorEastAsia" w:eastAsiaTheme="minorEastAsia" w:cstheme="minorEastAsia"/>
                <w:sz w:val="24"/>
                <w:szCs w:val="24"/>
              </w:rPr>
            </w:pPr>
          </w:p>
        </w:tc>
        <w:tc>
          <w:tcPr>
            <w:tcW w:w="1670"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发证单位</w:t>
            </w:r>
          </w:p>
        </w:tc>
        <w:tc>
          <w:tcPr>
            <w:tcW w:w="1466" w:type="dxa"/>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主管部门</w:t>
            </w:r>
          </w:p>
        </w:tc>
        <w:tc>
          <w:tcPr>
            <w:tcW w:w="2867" w:type="dxa"/>
            <w:gridSpan w:val="3"/>
          </w:tcPr>
          <w:p>
            <w:pPr>
              <w:rPr>
                <w:rFonts w:asciiTheme="minorEastAsia" w:hAnsiTheme="minorEastAsia" w:eastAsiaTheme="minorEastAsia" w:cstheme="minorEastAsia"/>
                <w:sz w:val="24"/>
                <w:szCs w:val="24"/>
              </w:rPr>
            </w:pPr>
          </w:p>
        </w:tc>
        <w:tc>
          <w:tcPr>
            <w:tcW w:w="1794" w:type="dxa"/>
            <w:vAlign w:val="center"/>
          </w:tcPr>
          <w:p>
            <w:pPr>
              <w:jc w:val="center"/>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营业执照证号</w:t>
            </w:r>
          </w:p>
        </w:tc>
        <w:tc>
          <w:tcPr>
            <w:tcW w:w="3136" w:type="dxa"/>
            <w:gridSpan w:val="2"/>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72" w:type="dxa"/>
            <w:tcBorders>
              <w:bottom w:val="single" w:color="auto" w:sz="4" w:space="0"/>
            </w:tcBorders>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1995" w:type="dxa"/>
            <w:gridSpan w:val="2"/>
            <w:tcBorders>
              <w:bottom w:val="single" w:color="auto" w:sz="4" w:space="0"/>
            </w:tcBorders>
            <w:vAlign w:val="center"/>
          </w:tcPr>
          <w:p>
            <w:pPr>
              <w:jc w:val="center"/>
              <w:rPr>
                <w:rFonts w:asciiTheme="minorEastAsia" w:hAnsiTheme="minorEastAsia" w:eastAsiaTheme="minorEastAsia" w:cstheme="minorEastAsia"/>
                <w:sz w:val="24"/>
                <w:szCs w:val="24"/>
              </w:rPr>
            </w:pPr>
          </w:p>
        </w:tc>
        <w:tc>
          <w:tcPr>
            <w:tcW w:w="872" w:type="dxa"/>
            <w:tcBorders>
              <w:bottom w:val="single" w:color="auto" w:sz="4" w:space="0"/>
            </w:tcBorders>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帐号</w:t>
            </w:r>
          </w:p>
        </w:tc>
        <w:tc>
          <w:tcPr>
            <w:tcW w:w="1794" w:type="dxa"/>
            <w:tcBorders>
              <w:bottom w:val="single" w:color="auto" w:sz="4" w:space="0"/>
            </w:tcBorders>
            <w:vAlign w:val="center"/>
          </w:tcPr>
          <w:p>
            <w:pPr>
              <w:jc w:val="center"/>
              <w:rPr>
                <w:rFonts w:asciiTheme="minorEastAsia" w:hAnsiTheme="minorEastAsia" w:eastAsiaTheme="minorEastAsia" w:cstheme="minorEastAsia"/>
                <w:sz w:val="24"/>
                <w:szCs w:val="24"/>
              </w:rPr>
            </w:pPr>
          </w:p>
        </w:tc>
        <w:tc>
          <w:tcPr>
            <w:tcW w:w="1670" w:type="dxa"/>
            <w:tcBorders>
              <w:bottom w:val="single" w:color="auto" w:sz="4" w:space="0"/>
            </w:tcBorders>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466" w:type="dxa"/>
            <w:tcBorders>
              <w:bottom w:val="single" w:color="auto" w:sz="4" w:space="0"/>
            </w:tcBorders>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资金情况</w:t>
            </w:r>
          </w:p>
        </w:tc>
        <w:tc>
          <w:tcPr>
            <w:tcW w:w="7797" w:type="dxa"/>
            <w:gridSpan w:val="6"/>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企业注册资金     万元，其中固定资金     万元，流动资金      万元，流动资金中自有资金    万元</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2018年销售额     万元，利润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tc>
        <w:tc>
          <w:tcPr>
            <w:tcW w:w="7797" w:type="dxa"/>
            <w:gridSpan w:val="6"/>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1472"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主要销售情况介绍</w:t>
            </w:r>
          </w:p>
        </w:tc>
        <w:tc>
          <w:tcPr>
            <w:tcW w:w="7797" w:type="dxa"/>
            <w:gridSpan w:val="6"/>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（不够可另加附件补充。）</w:t>
            </w:r>
          </w:p>
        </w:tc>
      </w:tr>
    </w:tbl>
    <w:p>
      <w:pPr>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附注：随本表提供2018年度经过审计的财务报表的复印件（加盖本单位公章）。</w:t>
      </w:r>
    </w:p>
    <w:p>
      <w:pPr>
        <w:ind w:right="-11" w:firstLine="240" w:firstLineChars="100"/>
        <w:rPr>
          <w:rFonts w:asciiTheme="minorEastAsia" w:hAnsiTheme="minorEastAsia" w:eastAsiaTheme="minorEastAsia" w:cstheme="minorEastAsia"/>
          <w:bCs/>
          <w:kern w:val="0"/>
          <w:sz w:val="24"/>
          <w:szCs w:val="24"/>
        </w:rPr>
      </w:pPr>
    </w:p>
    <w:p>
      <w:pPr>
        <w:ind w:right="-11"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申请人全称（公章）：</w:t>
      </w:r>
    </w:p>
    <w:p>
      <w:pPr>
        <w:ind w:right="-11" w:firstLine="240" w:firstLineChars="100"/>
        <w:rPr>
          <w:rFonts w:asciiTheme="minorEastAsia" w:hAnsiTheme="minorEastAsia" w:eastAsiaTheme="minorEastAsia" w:cstheme="minorEastAsia"/>
          <w:sz w:val="24"/>
          <w:szCs w:val="24"/>
        </w:rPr>
      </w:pPr>
    </w:p>
    <w:p>
      <w:pPr>
        <w:ind w:right="-11"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w:t>
      </w:r>
    </w:p>
    <w:p>
      <w:pPr>
        <w:ind w:right="-11" w:firstLine="240" w:firstLineChars="100"/>
        <w:rPr>
          <w:rFonts w:asciiTheme="minorEastAsia" w:hAnsiTheme="minorEastAsia" w:eastAsiaTheme="minorEastAsia" w:cstheme="minorEastAsia"/>
          <w:sz w:val="24"/>
          <w:szCs w:val="24"/>
        </w:rPr>
      </w:pPr>
    </w:p>
    <w:p>
      <w:pPr>
        <w:ind w:right="-11"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97"/>
        <w:snapToGrid w:val="0"/>
        <w:spacing w:line="300" w:lineRule="auto"/>
        <w:ind w:left="984" w:hanging="984"/>
        <w:contextualSpacing/>
        <w:jc w:val="center"/>
        <w:rPr>
          <w:rFonts w:ascii="仿宋" w:hAnsi="仿宋" w:eastAsia="仿宋"/>
          <w:snapToGrid w:val="0"/>
          <w:sz w:val="28"/>
          <w:szCs w:val="28"/>
        </w:rPr>
      </w:pPr>
    </w:p>
    <w:p>
      <w:pPr>
        <w:spacing w:line="566" w:lineRule="exact"/>
        <w:rPr>
          <w:rFonts w:ascii="华文中宋" w:hAnsi="华文中宋" w:eastAsia="华文中宋"/>
          <w:b/>
          <w:sz w:val="36"/>
          <w:szCs w:val="36"/>
        </w:rPr>
      </w:pPr>
    </w:p>
    <w:p>
      <w:pPr>
        <w:jc w:val="center"/>
        <w:rPr>
          <w:rFonts w:ascii="宋体" w:hAnsi="宋体" w:cs="宋体"/>
          <w:sz w:val="36"/>
          <w:szCs w:val="36"/>
        </w:rPr>
      </w:pPr>
      <w:r>
        <w:rPr>
          <w:rFonts w:hint="eastAsia" w:ascii="宋体" w:hAnsi="宋体" w:cs="宋体"/>
          <w:sz w:val="36"/>
          <w:szCs w:val="36"/>
        </w:rPr>
        <w:t>2.商务条款响应及偏离表</w:t>
      </w:r>
    </w:p>
    <w:p>
      <w:pPr>
        <w:jc w:val="center"/>
        <w:rPr>
          <w:rFonts w:ascii="宋体" w:hAnsi="宋体"/>
          <w:sz w:val="24"/>
          <w:szCs w:val="24"/>
        </w:rPr>
      </w:pPr>
    </w:p>
    <w:p>
      <w:pPr>
        <w:rPr>
          <w:rFonts w:ascii="方正仿宋_GBK" w:hAnsi="宋体" w:eastAsia="方正仿宋_GBK"/>
          <w:sz w:val="24"/>
          <w:szCs w:val="24"/>
        </w:rPr>
      </w:pPr>
      <w:r>
        <w:rPr>
          <w:rFonts w:hint="eastAsia" w:ascii="方正仿宋_GBK" w:hAnsi="宋体" w:eastAsia="方正仿宋_GBK"/>
          <w:sz w:val="24"/>
          <w:szCs w:val="24"/>
        </w:rPr>
        <w:t xml:space="preserve">投标人全称（加盖公章）：        </w:t>
      </w:r>
    </w:p>
    <w:tbl>
      <w:tblPr>
        <w:tblStyle w:val="36"/>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方正仿宋_GBK" w:hAnsi="宋体" w:eastAsia="方正仿宋_GBK"/>
                <w:sz w:val="24"/>
                <w:szCs w:val="20"/>
              </w:rPr>
            </w:pPr>
            <w:r>
              <w:rPr>
                <w:rFonts w:hint="eastAsia" w:ascii="方正仿宋_GBK" w:hAnsi="宋体" w:eastAsia="方正仿宋_GBK"/>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方正仿宋_GBK" w:hAnsi="宋体" w:eastAsia="方正仿宋_GBK"/>
                <w:sz w:val="24"/>
                <w:szCs w:val="20"/>
              </w:rPr>
            </w:pPr>
            <w:r>
              <w:rPr>
                <w:rFonts w:hint="eastAsia" w:ascii="方正仿宋_GBK" w:hAnsi="宋体" w:eastAsia="方正仿宋_GBK"/>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方正仿宋_GBK" w:hAnsi="宋体" w:eastAsia="方正仿宋_GBK"/>
                <w:sz w:val="24"/>
                <w:szCs w:val="20"/>
              </w:rPr>
            </w:pPr>
            <w:r>
              <w:rPr>
                <w:rFonts w:hint="eastAsia" w:ascii="方正仿宋_GBK" w:hAnsi="宋体" w:eastAsia="方正仿宋_GBK"/>
                <w:sz w:val="24"/>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方正仿宋_GBK" w:hAnsi="宋体" w:eastAsia="方正仿宋_GBK"/>
                <w:sz w:val="24"/>
                <w:szCs w:val="20"/>
              </w:rPr>
            </w:pPr>
            <w:r>
              <w:rPr>
                <w:rFonts w:hint="eastAsia" w:ascii="方正仿宋_GBK" w:hAnsi="宋体" w:eastAsia="方正仿宋_GBK"/>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hAnsi="宋体" w:eastAsia="方正仿宋_GBK"/>
                <w:sz w:val="24"/>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eastAsia="方正仿宋_GBK"/>
                <w:sz w:val="24"/>
              </w:rPr>
              <w:t>售后技术服务要求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eastAsia="方正仿宋_GBK"/>
                <w:sz w:val="24"/>
              </w:rPr>
              <w:t>交货时间</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hAnsi="宋体" w:eastAsia="方正仿宋_GBK"/>
                <w:sz w:val="24"/>
              </w:rPr>
              <w:t>合同签订后天内</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eastAsia="方正仿宋_GBK"/>
                <w:sz w:val="24"/>
              </w:rPr>
            </w:pPr>
            <w:r>
              <w:rPr>
                <w:rFonts w:hint="eastAsia" w:ascii="方正仿宋_GBK" w:eastAsia="方正仿宋_GBK"/>
                <w:sz w:val="24"/>
              </w:rPr>
              <w:t>交货方式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rPr>
            </w:pPr>
          </w:p>
          <w:p>
            <w:pPr>
              <w:snapToGrid w:val="0"/>
              <w:spacing w:beforeLines="50"/>
              <w:rPr>
                <w:rFonts w:ascii="方正仿宋_GBK" w:hAnsi="宋体" w:eastAsia="方正仿宋_GBK"/>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eastAsia="方正仿宋_GBK"/>
                <w:sz w:val="24"/>
              </w:rPr>
            </w:pPr>
            <w:r>
              <w:rPr>
                <w:rFonts w:hint="eastAsia" w:ascii="方正仿宋_GBK" w:eastAsia="方正仿宋_GBK"/>
                <w:sz w:val="24"/>
              </w:rPr>
              <w:t>交货地点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rPr>
            </w:pPr>
          </w:p>
          <w:p>
            <w:pPr>
              <w:snapToGrid w:val="0"/>
              <w:spacing w:beforeLines="50"/>
              <w:rPr>
                <w:rFonts w:ascii="方正仿宋_GBK" w:hAnsi="宋体" w:eastAsia="方正仿宋_GBK"/>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hAnsi="宋体" w:eastAsia="方正仿宋_GBK"/>
                <w:sz w:val="24"/>
              </w:rPr>
              <w:t>付款方式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hAnsi="宋体" w:eastAsia="方正仿宋_GBK"/>
                <w:sz w:val="24"/>
                <w:szCs w:val="20"/>
              </w:rPr>
              <w:t>投标货币</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eastAsia="方正仿宋_GBK"/>
                <w:sz w:val="24"/>
              </w:rPr>
            </w:pPr>
            <w:r>
              <w:rPr>
                <w:rFonts w:hint="eastAsia" w:ascii="方正仿宋_GBK" w:eastAsia="方正仿宋_GBK"/>
                <w:sz w:val="24"/>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r>
              <w:rPr>
                <w:rFonts w:hint="eastAsia" w:ascii="方正仿宋_GBK" w:hAnsi="宋体" w:eastAsia="方正仿宋_GBK"/>
                <w:sz w:val="24"/>
              </w:rPr>
              <w:t>其他</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方正仿宋_GBK" w:hAnsi="宋体" w:eastAsia="方正仿宋_GBK"/>
                <w:sz w:val="24"/>
                <w:szCs w:val="20"/>
              </w:rPr>
            </w:pPr>
          </w:p>
        </w:tc>
      </w:tr>
    </w:tbl>
    <w:p>
      <w:pPr>
        <w:spacing w:line="440" w:lineRule="exact"/>
        <w:rPr>
          <w:rFonts w:ascii="方正楷体_GBK" w:hAnsi="宋体" w:eastAsia="方正楷体_GBK"/>
          <w:sz w:val="24"/>
        </w:rPr>
      </w:pPr>
      <w:r>
        <w:rPr>
          <w:rFonts w:hint="eastAsia" w:ascii="方正楷体_GBK" w:hAnsi="宋体" w:eastAsia="方正楷体_GBK"/>
          <w:sz w:val="24"/>
          <w:szCs w:val="24"/>
        </w:rPr>
        <w:t>说明：不得出现本次投标价格。</w:t>
      </w:r>
      <w:r>
        <w:rPr>
          <w:rFonts w:hint="eastAsia" w:ascii="方正楷体_GBK" w:hAnsi="宋体" w:eastAsia="方正楷体_GBK"/>
          <w:sz w:val="24"/>
        </w:rPr>
        <w:t>如违背即为无效投标。</w:t>
      </w:r>
    </w:p>
    <w:p>
      <w:pPr>
        <w:spacing w:line="440" w:lineRule="exact"/>
        <w:rPr>
          <w:rFonts w:ascii="方正楷体_GBK" w:hAnsi="宋体" w:eastAsia="方正楷体_GBK"/>
          <w:sz w:val="24"/>
        </w:rPr>
      </w:pPr>
      <w:r>
        <w:rPr>
          <w:rFonts w:hint="eastAsia" w:ascii="方正楷体_GBK" w:hAnsi="宋体" w:eastAsia="方正楷体_GBK"/>
          <w:sz w:val="24"/>
        </w:rPr>
        <w:t xml:space="preserve">      无如偏离，以空白表列示，并盖章确认。</w:t>
      </w:r>
    </w:p>
    <w:p>
      <w:pPr>
        <w:spacing w:line="566" w:lineRule="exact"/>
        <w:rPr>
          <w:rFonts w:ascii="Times New Roman" w:hAnsi="Times New Roman" w:eastAsia="方正仿宋_GBK"/>
          <w:bCs/>
          <w:sz w:val="32"/>
          <w:szCs w:val="32"/>
        </w:rPr>
      </w:pPr>
    </w:p>
    <w:p>
      <w:pPr>
        <w:spacing w:line="566" w:lineRule="exact"/>
        <w:rPr>
          <w:rFonts w:ascii="Times New Roman" w:hAnsi="Times New Roman" w:eastAsia="方正仿宋_GBK"/>
          <w:bCs/>
          <w:sz w:val="32"/>
          <w:szCs w:val="32"/>
        </w:rPr>
      </w:pPr>
    </w:p>
    <w:p>
      <w:pPr>
        <w:spacing w:line="566" w:lineRule="exact"/>
        <w:rPr>
          <w:rFonts w:ascii="Times New Roman" w:hAnsi="Times New Roman" w:eastAsia="方正仿宋_GBK"/>
          <w:bCs/>
          <w:sz w:val="32"/>
          <w:szCs w:val="32"/>
        </w:rPr>
      </w:pPr>
    </w:p>
    <w:p>
      <w:pPr>
        <w:spacing w:line="566" w:lineRule="exact"/>
        <w:rPr>
          <w:rFonts w:ascii="Times New Roman" w:hAnsi="Times New Roman" w:eastAsia="方正仿宋_GBK"/>
          <w:bCs/>
          <w:sz w:val="32"/>
          <w:szCs w:val="32"/>
        </w:rPr>
      </w:pPr>
    </w:p>
    <w:p>
      <w:pPr>
        <w:jc w:val="both"/>
        <w:rPr>
          <w:rFonts w:ascii="宋体" w:hAnsi="宋体" w:cs="宋体"/>
          <w:sz w:val="36"/>
          <w:szCs w:val="36"/>
        </w:rPr>
        <w:sectPr>
          <w:pgSz w:w="11905" w:h="16838"/>
          <w:pgMar w:top="1440" w:right="1803" w:bottom="1440" w:left="1803" w:header="850" w:footer="992" w:gutter="0"/>
          <w:cols w:space="0" w:num="1"/>
          <w:docGrid w:type="lines" w:linePitch="317" w:charSpace="0"/>
        </w:sectPr>
      </w:pPr>
    </w:p>
    <w:p>
      <w:pPr>
        <w:jc w:val="center"/>
        <w:rPr>
          <w:rFonts w:ascii="宋体" w:hAnsi="宋体" w:cs="宋体"/>
          <w:sz w:val="36"/>
          <w:szCs w:val="36"/>
        </w:rPr>
      </w:pPr>
      <w:r>
        <w:rPr>
          <w:rFonts w:hint="eastAsia" w:ascii="宋体" w:hAnsi="宋体" w:cs="宋体"/>
          <w:sz w:val="36"/>
          <w:szCs w:val="36"/>
        </w:rPr>
        <w:t>3.技术参数响应及偏离表</w:t>
      </w:r>
    </w:p>
    <w:p>
      <w:pPr>
        <w:rPr>
          <w:rFonts w:hint="eastAsia" w:ascii="方正仿宋_GBK" w:hAnsi="宋体" w:eastAsia="方正仿宋_GBK"/>
          <w:sz w:val="24"/>
          <w:szCs w:val="24"/>
        </w:rPr>
      </w:pPr>
      <w:r>
        <w:rPr>
          <w:rFonts w:hint="eastAsia" w:ascii="方正仿宋_GBK" w:hAnsi="宋体" w:eastAsia="方正仿宋_GBK"/>
          <w:sz w:val="24"/>
          <w:szCs w:val="24"/>
        </w:rPr>
        <w:t xml:space="preserve">投标人全称（加盖公章）：       </w:t>
      </w:r>
    </w:p>
    <w:p>
      <w:pPr>
        <w:rPr>
          <w:rFonts w:ascii="方正仿宋_GBK" w:hAnsi="宋体" w:eastAsia="方正仿宋_GBK"/>
          <w:sz w:val="24"/>
          <w:szCs w:val="24"/>
        </w:rPr>
      </w:pPr>
      <w:r>
        <w:rPr>
          <w:rFonts w:hint="eastAsia" w:ascii="方正仿宋_GBK" w:hAnsi="宋体" w:eastAsia="方正仿宋_GBK"/>
          <w:sz w:val="24"/>
          <w:szCs w:val="24"/>
        </w:rPr>
        <w:t>南通市安全生产应急救援装备采购</w:t>
      </w:r>
    </w:p>
    <w:tbl>
      <w:tblPr>
        <w:tblStyle w:val="36"/>
        <w:tblW w:w="13907" w:type="dxa"/>
        <w:tblInd w:w="0" w:type="dxa"/>
        <w:tblLayout w:type="fixed"/>
        <w:tblCellMar>
          <w:top w:w="0" w:type="dxa"/>
          <w:left w:w="0" w:type="dxa"/>
          <w:bottom w:w="0" w:type="dxa"/>
          <w:right w:w="0" w:type="dxa"/>
        </w:tblCellMar>
      </w:tblPr>
      <w:tblGrid>
        <w:gridCol w:w="834"/>
        <w:gridCol w:w="2181"/>
        <w:gridCol w:w="837"/>
        <w:gridCol w:w="833"/>
        <w:gridCol w:w="1851"/>
        <w:gridCol w:w="3544"/>
        <w:gridCol w:w="1134"/>
        <w:gridCol w:w="2693"/>
      </w:tblGrid>
      <w:tr>
        <w:tblPrEx>
          <w:tblLayout w:type="fixed"/>
          <w:tblCellMar>
            <w:top w:w="0" w:type="dxa"/>
            <w:left w:w="0" w:type="dxa"/>
            <w:bottom w:w="0" w:type="dxa"/>
            <w:right w:w="0" w:type="dxa"/>
          </w:tblCellMar>
        </w:tblPrEx>
        <w:trPr>
          <w:trHeight w:val="6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项目名称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单位</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品牌及具体参数</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ind w:right="-15" w:rightChars="-7"/>
              <w:jc w:val="center"/>
              <w:rPr>
                <w:rFonts w:ascii="方正楷体_GBK" w:hAnsi="宋体" w:eastAsia="方正楷体_GBK"/>
                <w:sz w:val="24"/>
                <w:szCs w:val="24"/>
              </w:rPr>
            </w:pPr>
            <w:r>
              <w:rPr>
                <w:rFonts w:ascii="方正楷体_GBK" w:hAnsi="宋体" w:eastAsia="方正楷体_GBK"/>
                <w:sz w:val="24"/>
                <w:szCs w:val="24"/>
              </w:rPr>
              <w:t>备注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ind w:right="-15" w:rightChars="-7"/>
              <w:rPr>
                <w:rFonts w:hint="eastAsia" w:ascii="方正楷体_GBK" w:hAnsi="宋体" w:eastAsia="方正楷体_GBK"/>
                <w:sz w:val="24"/>
                <w:szCs w:val="24"/>
              </w:rPr>
            </w:pPr>
            <w:r>
              <w:rPr>
                <w:rFonts w:hint="eastAsia" w:ascii="方正楷体_GBK" w:hAnsi="宋体" w:eastAsia="方正楷体_GBK"/>
                <w:sz w:val="24"/>
                <w:szCs w:val="24"/>
              </w:rPr>
              <w:t>是否存在偏离</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ind w:right="-15" w:rightChars="-7"/>
              <w:jc w:val="center"/>
              <w:rPr>
                <w:rFonts w:ascii="方正楷体_GBK" w:hAnsi="宋体" w:eastAsia="方正楷体_GBK"/>
                <w:sz w:val="24"/>
                <w:szCs w:val="24"/>
              </w:rPr>
            </w:pPr>
            <w:r>
              <w:rPr>
                <w:rFonts w:hint="eastAsia" w:ascii="方正楷体_GBK" w:hAnsi="宋体" w:eastAsia="方正楷体_GBK"/>
                <w:sz w:val="24"/>
                <w:szCs w:val="24"/>
              </w:rPr>
              <w:t>偏离说明</w:t>
            </w: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抢险救援服（夏款）</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S-XXX</w:t>
            </w:r>
            <w:r>
              <w:rPr>
                <w:rFonts w:hint="eastAsia" w:ascii="方正楷体_GBK" w:hAnsi="宋体" w:eastAsia="方正楷体_GBK"/>
                <w:sz w:val="24"/>
                <w:szCs w:val="24"/>
              </w:rPr>
              <w:t>X</w:t>
            </w:r>
            <w:r>
              <w:rPr>
                <w:rFonts w:ascii="方正楷体_GBK" w:hAnsi="宋体" w:eastAsia="方正楷体_GBK"/>
                <w:sz w:val="24"/>
                <w:szCs w:val="24"/>
              </w:rPr>
              <w:t>L</w:t>
            </w:r>
            <w:r>
              <w:rPr>
                <w:rFonts w:hint="eastAsia" w:ascii="方正楷体_GBK" w:hAnsi="宋体" w:eastAsia="方正楷体_GBK"/>
                <w:sz w:val="24"/>
                <w:szCs w:val="24"/>
              </w:rPr>
              <w:t>具备阻燃、防水透气、隔热</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hint="eastAsia" w:ascii="方正楷体_GBK" w:hAnsi="宋体" w:eastAsia="方正楷体_GBK"/>
                <w:sz w:val="24"/>
                <w:szCs w:val="24"/>
              </w:rPr>
              <w:t>S码10套、M码10套、L码10套、XL码10套、XXL码10套、XXXL码10套、XXXXL码3套</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楷体_GBK" w:hAnsi="宋体" w:eastAsia="方正楷体_GBK"/>
                <w:sz w:val="24"/>
                <w:szCs w:val="24"/>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抢险救援服（冬款）</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S-</w:t>
            </w:r>
            <w:r>
              <w:rPr>
                <w:rFonts w:hint="eastAsia" w:ascii="方正楷体_GBK" w:hAnsi="宋体" w:eastAsia="方正楷体_GBK"/>
                <w:sz w:val="24"/>
                <w:szCs w:val="24"/>
              </w:rPr>
              <w:t>X</w:t>
            </w:r>
            <w:r>
              <w:rPr>
                <w:rFonts w:ascii="方正楷体_GBK" w:hAnsi="宋体" w:eastAsia="方正楷体_GBK"/>
                <w:sz w:val="24"/>
                <w:szCs w:val="24"/>
              </w:rPr>
              <w:t>XXXL</w:t>
            </w:r>
            <w:r>
              <w:rPr>
                <w:rFonts w:hint="eastAsia" w:ascii="方正楷体_GBK" w:hAnsi="宋体" w:eastAsia="方正楷体_GBK"/>
                <w:sz w:val="24"/>
                <w:szCs w:val="24"/>
              </w:rPr>
              <w:t>具备阻燃、防水透气、隔热</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冬款带绒，</w:t>
            </w:r>
            <w:r>
              <w:rPr>
                <w:rFonts w:hint="eastAsia" w:ascii="方正楷体_GBK" w:hAnsi="宋体" w:eastAsia="方正楷体_GBK"/>
                <w:sz w:val="24"/>
                <w:szCs w:val="24"/>
              </w:rPr>
              <w:t>S码10套、M码10套、L码10套、XL码10套、XXL码10套、XXXL码10套、XXXXL码3套</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4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抢险救援靴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38-44码</w:t>
            </w:r>
            <w:r>
              <w:rPr>
                <w:rFonts w:hint="eastAsia" w:ascii="方正楷体_GBK" w:hAnsi="宋体" w:eastAsia="方正楷体_GBK"/>
                <w:sz w:val="24"/>
                <w:szCs w:val="24"/>
              </w:rPr>
              <w:t>隔热、防水、防砸、防腐蚀</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38，39，40，41，42，43码各10套，44码3套</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6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抢险救援头盔</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标准F2  300*230MM</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7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抢险救援手套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牛皮材料 </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hint="eastAsia" w:ascii="方正楷体_GBK" w:hAnsi="宋体" w:eastAsia="方正楷体_GBK"/>
                <w:sz w:val="24"/>
                <w:szCs w:val="24"/>
              </w:rPr>
              <w:t>阻燃、隔热、防水、耐磨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8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抢险救援腰带</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耐温204度</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6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防高温手套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耐热温度450度</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化学防护服（简易）</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半封闭轻型防化服 GB24540-2009</w:t>
            </w:r>
          </w:p>
          <w:p>
            <w:pPr>
              <w:spacing w:line="440" w:lineRule="exact"/>
              <w:rPr>
                <w:rFonts w:ascii="方正楷体_GBK" w:hAnsi="宋体" w:eastAsia="方正楷体_GBK"/>
                <w:sz w:val="24"/>
                <w:szCs w:val="24"/>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国标一级90MIN≤T&lt;120MIN  防护98%硫酸</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7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防化靴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筒高355-385MM筒厚</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3.2-2.0MM重量1.6KG 防冲击防尘防化学飞溅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9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防化手套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型号：201510 *</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重型高性能防化手套长38CM 厚0.78MM氯丁橡胶材质 耐酸碱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过滤式综合防毒面具整套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15</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型号009001  3C标准</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A型 E型 K型滤罐各配15个</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9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呼救器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RHJ240型防爆 防水 耐高温</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连续待机24小时连续报警240分钟防爆证号GYB14.1095 3C认证</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7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护目镜</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EF32 重60克</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多功能防护 防尘 防飞溅 防冲击</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防爆灯</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DF-6 可携式隔爆型防爆灯</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防爆标志:EXDIICT4  防爆合格证编号：NLE08409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强光手电筒</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hint="eastAsia" w:ascii="方正楷体_GBK" w:hAnsi="宋体" w:eastAsia="方正楷体_GBK"/>
                <w:sz w:val="24"/>
                <w:szCs w:val="24"/>
              </w:rPr>
            </w:pPr>
            <w:r>
              <w:rPr>
                <w:rFonts w:hint="eastAsia" w:ascii="方正楷体_GBK" w:hAnsi="宋体" w:eastAsia="方正楷体_GBK"/>
                <w:sz w:val="24"/>
                <w:szCs w:val="24"/>
              </w:rPr>
              <w:t>支持充电宝充电</w:t>
            </w:r>
          </w:p>
          <w:p>
            <w:pPr>
              <w:spacing w:line="440" w:lineRule="exact"/>
              <w:rPr>
                <w:rFonts w:hint="eastAsia" w:ascii="方正楷体_GBK" w:hAnsi="宋体" w:eastAsia="方正楷体_GBK"/>
                <w:sz w:val="24"/>
                <w:szCs w:val="24"/>
              </w:rPr>
            </w:pPr>
            <w:r>
              <w:rPr>
                <w:rFonts w:hint="eastAsia" w:ascii="方正楷体_GBK" w:hAnsi="宋体" w:eastAsia="方正楷体_GBK"/>
                <w:sz w:val="24"/>
                <w:szCs w:val="24"/>
              </w:rPr>
              <w:t>亮度4600LM</w:t>
            </w:r>
          </w:p>
          <w:p>
            <w:pPr>
              <w:spacing w:line="440" w:lineRule="exact"/>
              <w:rPr>
                <w:rFonts w:ascii="方正楷体_GBK" w:hAnsi="宋体" w:eastAsia="方正楷体_GBK"/>
                <w:sz w:val="24"/>
                <w:szCs w:val="24"/>
              </w:rPr>
            </w:pPr>
            <w:r>
              <w:rPr>
                <w:rFonts w:hint="eastAsia" w:ascii="方正楷体_GBK" w:hAnsi="宋体" w:eastAsia="方正楷体_GBK"/>
                <w:sz w:val="24"/>
                <w:szCs w:val="24"/>
              </w:rPr>
              <w:t>射程800+</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hint="eastAsia" w:ascii="方正楷体_GBK" w:hAnsi="宋体" w:eastAsia="方正楷体_GBK"/>
                <w:sz w:val="24"/>
                <w:szCs w:val="24"/>
              </w:rPr>
              <w:t>重0.55KG左右 亮光调节强光弱光 防护等级IP7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雨衣/雨裤</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加厚加密分体雨衣</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9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雨靴</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38-44码 37高*42筒围</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加厚耐用 军工雨靴 牛筋底，38、39、40、41、42、43码各10双、44码3双</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18</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防尘口罩（KN95）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500</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KN95防护级别</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8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19</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移动电源（充电宝）</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FCC/CE认证  </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20000毫安  认证FCC/CE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9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20</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洗漱用品</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洗漱三合一套装</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漱口杯1只高露洁40G1支牙刷1只全棉竹纤毛巾1条26*50CM</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6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21</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毛巾被</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1.5*2M</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重量1.1-2斤  棉</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5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22</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军用水壶</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87式水壶  容量1.2L</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长宽高20*15*9CM  材质：食品级铝</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5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23</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高倍望远镜</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GB/T19001-2016</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双筒望远镜</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5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24</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多功能喊话器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 3C认证 型号2501 输出50W</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7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25</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防爆对讲机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12</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TC700EX 122*55*38MM</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 xml:space="preserve">机身约406克 1800MAH防爆电池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9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26</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个人医用急救包</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定制SYS13042210 185*135*50</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急救毯绷带胶带止血带纱布三角绷带棉棒手套清洁湿巾创可贴等</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r>
        <w:tblPrEx>
          <w:tblLayout w:type="fixed"/>
          <w:tblCellMar>
            <w:top w:w="0" w:type="dxa"/>
            <w:left w:w="0" w:type="dxa"/>
            <w:bottom w:w="0" w:type="dxa"/>
            <w:right w:w="0" w:type="dxa"/>
          </w:tblCellMar>
        </w:tblPrEx>
        <w:trPr>
          <w:trHeight w:val="98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27</w:t>
            </w:r>
          </w:p>
        </w:tc>
        <w:tc>
          <w:tcPr>
            <w:tcW w:w="2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多功能应急包（空）</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63</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套</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定制  高宽厚45*32*19CM</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楷体_GBK" w:hAnsi="宋体" w:eastAsia="方正楷体_GBK"/>
                <w:sz w:val="24"/>
                <w:szCs w:val="24"/>
              </w:rPr>
            </w:pPr>
            <w:r>
              <w:rPr>
                <w:rFonts w:ascii="方正楷体_GBK" w:hAnsi="宋体" w:eastAsia="方正楷体_GBK"/>
                <w:sz w:val="24"/>
                <w:szCs w:val="24"/>
              </w:rPr>
              <w:t>多功能应急双肩包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楷体_GBK" w:hAnsi="宋体" w:eastAsia="方正楷体_GBK"/>
                <w:sz w:val="24"/>
                <w:szCs w:val="24"/>
              </w:rPr>
            </w:pPr>
          </w:p>
        </w:tc>
      </w:tr>
    </w:tbl>
    <w:p>
      <w:pPr>
        <w:spacing w:line="440" w:lineRule="exact"/>
        <w:rPr>
          <w:rFonts w:ascii="方正楷体_GBK" w:hAnsi="宋体" w:eastAsia="方正楷体_GBK"/>
          <w:sz w:val="24"/>
          <w:szCs w:val="24"/>
        </w:rPr>
      </w:pPr>
      <w:r>
        <w:rPr>
          <w:rFonts w:hint="eastAsia" w:ascii="方正楷体_GBK" w:hAnsi="宋体" w:eastAsia="方正楷体_GBK"/>
          <w:sz w:val="24"/>
          <w:szCs w:val="24"/>
        </w:rPr>
        <w:t>注：1、按照基本技术要求详细填列。</w:t>
      </w:r>
    </w:p>
    <w:p>
      <w:pPr>
        <w:spacing w:line="440" w:lineRule="exact"/>
        <w:ind w:firstLine="480" w:firstLineChars="200"/>
        <w:rPr>
          <w:rFonts w:ascii="方正楷体_GBK" w:hAnsi="宋体" w:eastAsia="方正楷体_GBK"/>
          <w:sz w:val="24"/>
          <w:szCs w:val="24"/>
        </w:rPr>
      </w:pPr>
      <w:r>
        <w:rPr>
          <w:rFonts w:hint="eastAsia" w:ascii="方正楷体_GBK" w:hAnsi="宋体" w:eastAsia="方正楷体_GBK"/>
          <w:sz w:val="24"/>
          <w:szCs w:val="24"/>
        </w:rPr>
        <w:t>2、行数不够，可自行添加。</w:t>
      </w:r>
    </w:p>
    <w:p>
      <w:pPr>
        <w:spacing w:line="440" w:lineRule="exact"/>
        <w:ind w:firstLine="420" w:firstLineChars="200"/>
      </w:pPr>
      <w:r>
        <w:br w:type="page"/>
      </w:r>
    </w:p>
    <w:p>
      <w:pPr>
        <w:spacing w:line="440" w:lineRule="exact"/>
        <w:rPr>
          <w:rFonts w:hint="eastAsia" w:ascii="方正楷体_GBK" w:hAnsi="宋体" w:eastAsia="方正楷体_GBK"/>
          <w:sz w:val="24"/>
          <w:szCs w:val="24"/>
        </w:rPr>
      </w:pPr>
      <w:r>
        <w:rPr>
          <w:rFonts w:hint="eastAsia" w:ascii="宋体" w:hAnsi="宋体" w:cs="宋体"/>
          <w:color w:val="000000"/>
          <w:kern w:val="0"/>
          <w:sz w:val="40"/>
          <w:szCs w:val="40"/>
        </w:rPr>
        <w:t>南通市生活类救灾类物资采购</w:t>
      </w:r>
    </w:p>
    <w:tbl>
      <w:tblPr>
        <w:tblStyle w:val="36"/>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435"/>
        <w:gridCol w:w="823"/>
        <w:gridCol w:w="653"/>
        <w:gridCol w:w="3717"/>
        <w:gridCol w:w="2694"/>
        <w:gridCol w:w="1134"/>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4" w:hRule="atLeast"/>
        </w:trPr>
        <w:tc>
          <w:tcPr>
            <w:tcW w:w="758" w:type="dxa"/>
            <w:shd w:val="clear" w:color="auto" w:fill="auto"/>
            <w:tcMar>
              <w:top w:w="15" w:type="dxa"/>
              <w:left w:w="15" w:type="dxa"/>
              <w:right w:w="15" w:type="dxa"/>
            </w:tcMar>
            <w:vAlign w:val="center"/>
          </w:tcPr>
          <w:p>
            <w:pPr>
              <w:spacing w:line="440" w:lineRule="exact"/>
            </w:pPr>
            <w:r>
              <w:t>序号</w:t>
            </w:r>
          </w:p>
        </w:tc>
        <w:tc>
          <w:tcPr>
            <w:tcW w:w="1435" w:type="dxa"/>
            <w:shd w:val="clear" w:color="auto" w:fill="auto"/>
            <w:tcMar>
              <w:top w:w="15" w:type="dxa"/>
              <w:left w:w="15" w:type="dxa"/>
              <w:right w:w="15" w:type="dxa"/>
            </w:tcMar>
            <w:vAlign w:val="center"/>
          </w:tcPr>
          <w:p>
            <w:pPr>
              <w:spacing w:line="440" w:lineRule="exact"/>
            </w:pPr>
            <w:r>
              <w:t>物品名称</w:t>
            </w:r>
          </w:p>
        </w:tc>
        <w:tc>
          <w:tcPr>
            <w:tcW w:w="823" w:type="dxa"/>
            <w:shd w:val="clear" w:color="auto" w:fill="auto"/>
            <w:tcMar>
              <w:top w:w="15" w:type="dxa"/>
              <w:left w:w="15" w:type="dxa"/>
              <w:right w:w="15" w:type="dxa"/>
            </w:tcMar>
            <w:vAlign w:val="center"/>
          </w:tcPr>
          <w:p>
            <w:pPr>
              <w:spacing w:line="440" w:lineRule="exact"/>
            </w:pPr>
            <w:r>
              <w:t>数量</w:t>
            </w:r>
          </w:p>
        </w:tc>
        <w:tc>
          <w:tcPr>
            <w:tcW w:w="653" w:type="dxa"/>
            <w:shd w:val="clear" w:color="auto" w:fill="auto"/>
            <w:tcMar>
              <w:top w:w="15" w:type="dxa"/>
              <w:left w:w="15" w:type="dxa"/>
              <w:right w:w="15" w:type="dxa"/>
            </w:tcMar>
            <w:vAlign w:val="center"/>
          </w:tcPr>
          <w:p>
            <w:pPr>
              <w:spacing w:line="440" w:lineRule="exact"/>
            </w:pPr>
            <w:r>
              <w:t>单位</w:t>
            </w:r>
          </w:p>
        </w:tc>
        <w:tc>
          <w:tcPr>
            <w:tcW w:w="3717" w:type="dxa"/>
            <w:shd w:val="clear" w:color="auto" w:fill="auto"/>
            <w:tcMar>
              <w:top w:w="15" w:type="dxa"/>
              <w:left w:w="15" w:type="dxa"/>
              <w:right w:w="15" w:type="dxa"/>
            </w:tcMar>
            <w:vAlign w:val="center"/>
          </w:tcPr>
          <w:p>
            <w:pPr>
              <w:spacing w:line="440" w:lineRule="exact"/>
            </w:pPr>
            <w:r>
              <w:t>参数说明（品牌规格型号）</w:t>
            </w:r>
          </w:p>
        </w:tc>
        <w:tc>
          <w:tcPr>
            <w:tcW w:w="2694" w:type="dxa"/>
            <w:shd w:val="clear" w:color="auto" w:fill="auto"/>
            <w:tcMar>
              <w:top w:w="15" w:type="dxa"/>
              <w:left w:w="15" w:type="dxa"/>
              <w:right w:w="15" w:type="dxa"/>
            </w:tcMar>
            <w:vAlign w:val="center"/>
          </w:tcPr>
          <w:p>
            <w:pPr>
              <w:spacing w:line="440" w:lineRule="exact"/>
            </w:pPr>
            <w:r>
              <w:t>备注</w:t>
            </w:r>
          </w:p>
        </w:tc>
        <w:tc>
          <w:tcPr>
            <w:tcW w:w="1134" w:type="dxa"/>
            <w:vAlign w:val="center"/>
          </w:tcPr>
          <w:p>
            <w:pPr>
              <w:spacing w:line="440" w:lineRule="exact"/>
              <w:ind w:right="-15" w:rightChars="-7"/>
              <w:rPr>
                <w:rFonts w:hint="eastAsia" w:ascii="方正楷体_GBK" w:hAnsi="宋体" w:eastAsia="方正楷体_GBK"/>
                <w:sz w:val="24"/>
                <w:szCs w:val="24"/>
              </w:rPr>
            </w:pPr>
            <w:r>
              <w:rPr>
                <w:rFonts w:hint="eastAsia" w:ascii="方正楷体_GBK" w:hAnsi="宋体" w:eastAsia="方正楷体_GBK"/>
                <w:sz w:val="24"/>
                <w:szCs w:val="24"/>
              </w:rPr>
              <w:t>是否存在偏离</w:t>
            </w:r>
          </w:p>
        </w:tc>
        <w:tc>
          <w:tcPr>
            <w:tcW w:w="2721" w:type="dxa"/>
            <w:vAlign w:val="center"/>
          </w:tcPr>
          <w:p>
            <w:pPr>
              <w:spacing w:line="440" w:lineRule="exact"/>
              <w:ind w:right="-15" w:rightChars="-7"/>
              <w:jc w:val="center"/>
              <w:rPr>
                <w:rFonts w:ascii="方正楷体_GBK" w:hAnsi="宋体" w:eastAsia="方正楷体_GBK"/>
                <w:sz w:val="24"/>
                <w:szCs w:val="24"/>
              </w:rPr>
            </w:pPr>
            <w:r>
              <w:rPr>
                <w:rFonts w:hint="eastAsia" w:ascii="方正楷体_GBK" w:hAnsi="宋体" w:eastAsia="方正楷体_GBK"/>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9" w:hRule="atLeast"/>
        </w:trPr>
        <w:tc>
          <w:tcPr>
            <w:tcW w:w="758" w:type="dxa"/>
            <w:shd w:val="clear" w:color="auto" w:fill="auto"/>
            <w:tcMar>
              <w:top w:w="15" w:type="dxa"/>
              <w:left w:w="15" w:type="dxa"/>
              <w:right w:w="15" w:type="dxa"/>
            </w:tcMar>
            <w:vAlign w:val="center"/>
          </w:tcPr>
          <w:p>
            <w:pPr>
              <w:spacing w:line="440" w:lineRule="exact"/>
            </w:pPr>
            <w:r>
              <w:t>1</w:t>
            </w:r>
          </w:p>
        </w:tc>
        <w:tc>
          <w:tcPr>
            <w:tcW w:w="1435" w:type="dxa"/>
            <w:shd w:val="clear" w:color="auto" w:fill="auto"/>
            <w:tcMar>
              <w:top w:w="15" w:type="dxa"/>
              <w:left w:w="15" w:type="dxa"/>
              <w:right w:w="15" w:type="dxa"/>
            </w:tcMar>
            <w:vAlign w:val="center"/>
          </w:tcPr>
          <w:p>
            <w:pPr>
              <w:spacing w:line="440" w:lineRule="exact"/>
            </w:pPr>
            <w:r>
              <w:t>帐篷</w:t>
            </w:r>
          </w:p>
        </w:tc>
        <w:tc>
          <w:tcPr>
            <w:tcW w:w="823" w:type="dxa"/>
            <w:shd w:val="clear" w:color="auto" w:fill="auto"/>
            <w:tcMar>
              <w:top w:w="15" w:type="dxa"/>
              <w:left w:w="15" w:type="dxa"/>
              <w:right w:w="15" w:type="dxa"/>
            </w:tcMar>
            <w:vAlign w:val="center"/>
          </w:tcPr>
          <w:p>
            <w:pPr>
              <w:spacing w:line="440" w:lineRule="exact"/>
            </w:pPr>
            <w:r>
              <w:t>550</w:t>
            </w:r>
          </w:p>
        </w:tc>
        <w:tc>
          <w:tcPr>
            <w:tcW w:w="653" w:type="dxa"/>
            <w:shd w:val="clear" w:color="auto" w:fill="auto"/>
            <w:tcMar>
              <w:top w:w="15" w:type="dxa"/>
              <w:left w:w="15" w:type="dxa"/>
              <w:right w:w="15" w:type="dxa"/>
            </w:tcMar>
            <w:vAlign w:val="center"/>
          </w:tcPr>
          <w:p>
            <w:pPr>
              <w:spacing w:line="440" w:lineRule="exact"/>
            </w:pPr>
            <w:r>
              <w:t>顶</w:t>
            </w:r>
          </w:p>
        </w:tc>
        <w:tc>
          <w:tcPr>
            <w:tcW w:w="3717" w:type="dxa"/>
            <w:shd w:val="clear" w:color="auto" w:fill="auto"/>
            <w:tcMar>
              <w:top w:w="15" w:type="dxa"/>
              <w:left w:w="15" w:type="dxa"/>
              <w:right w:w="15" w:type="dxa"/>
            </w:tcMar>
            <w:vAlign w:val="center"/>
          </w:tcPr>
          <w:p>
            <w:pPr>
              <w:spacing w:line="440" w:lineRule="exact"/>
            </w:pPr>
            <w:r>
              <w:t>12平米单帐篷；3.7m×3.2m×2.67（顶高）m×1.75（檐高）m；执行标准：MZ/T 011.2-2010</w:t>
            </w:r>
          </w:p>
        </w:tc>
        <w:tc>
          <w:tcPr>
            <w:tcW w:w="2694" w:type="dxa"/>
            <w:shd w:val="clear" w:color="auto" w:fill="auto"/>
            <w:tcMar>
              <w:top w:w="15" w:type="dxa"/>
              <w:left w:w="15" w:type="dxa"/>
              <w:right w:w="15" w:type="dxa"/>
            </w:tcMar>
            <w:vAlign w:val="center"/>
          </w:tcPr>
          <w:p>
            <w:pPr>
              <w:spacing w:line="440" w:lineRule="exact"/>
            </w:pPr>
            <w:r>
              <w:rPr>
                <w:rFonts w:hint="eastAsia"/>
                <w:b/>
                <w:bCs/>
                <w:u w:val="single"/>
              </w:rPr>
              <w:t>需出自《自然灾害应急救助物资生产商参考名录（2018版）》</w:t>
            </w:r>
          </w:p>
        </w:tc>
        <w:tc>
          <w:tcPr>
            <w:tcW w:w="1134" w:type="dxa"/>
          </w:tcPr>
          <w:p>
            <w:pPr>
              <w:spacing w:line="440" w:lineRule="exact"/>
              <w:rPr>
                <w:rFonts w:hint="eastAsia"/>
                <w:b/>
                <w:bCs/>
                <w:u w:val="single"/>
              </w:rPr>
            </w:pPr>
          </w:p>
        </w:tc>
        <w:tc>
          <w:tcPr>
            <w:tcW w:w="2721" w:type="dxa"/>
          </w:tcPr>
          <w:p>
            <w:pPr>
              <w:spacing w:line="440" w:lineRule="exact"/>
              <w:rPr>
                <w:rFonts w:hint="eastAsia"/>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3" w:hRule="atLeast"/>
        </w:trPr>
        <w:tc>
          <w:tcPr>
            <w:tcW w:w="758" w:type="dxa"/>
            <w:shd w:val="clear" w:color="auto" w:fill="auto"/>
            <w:tcMar>
              <w:top w:w="15" w:type="dxa"/>
              <w:left w:w="15" w:type="dxa"/>
              <w:right w:w="15" w:type="dxa"/>
            </w:tcMar>
            <w:vAlign w:val="center"/>
          </w:tcPr>
          <w:p>
            <w:pPr>
              <w:spacing w:line="440" w:lineRule="exact"/>
            </w:pPr>
            <w:r>
              <w:t>2</w:t>
            </w:r>
          </w:p>
        </w:tc>
        <w:tc>
          <w:tcPr>
            <w:tcW w:w="1435" w:type="dxa"/>
            <w:shd w:val="clear" w:color="auto" w:fill="auto"/>
            <w:tcMar>
              <w:top w:w="15" w:type="dxa"/>
              <w:left w:w="15" w:type="dxa"/>
              <w:right w:w="15" w:type="dxa"/>
            </w:tcMar>
            <w:vAlign w:val="center"/>
          </w:tcPr>
          <w:p>
            <w:pPr>
              <w:spacing w:line="440" w:lineRule="exact"/>
            </w:pPr>
            <w:r>
              <w:t>大帐篷</w:t>
            </w:r>
          </w:p>
        </w:tc>
        <w:tc>
          <w:tcPr>
            <w:tcW w:w="823" w:type="dxa"/>
            <w:shd w:val="clear" w:color="auto" w:fill="auto"/>
            <w:tcMar>
              <w:top w:w="15" w:type="dxa"/>
              <w:left w:w="15" w:type="dxa"/>
              <w:right w:w="15" w:type="dxa"/>
            </w:tcMar>
            <w:vAlign w:val="center"/>
          </w:tcPr>
          <w:p>
            <w:pPr>
              <w:spacing w:line="440" w:lineRule="exact"/>
            </w:pPr>
            <w:r>
              <w:t>10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36平方米单帐篷；7.86m×4.76m×3.1（顶高）m×1.75（檐高）m；执行标准：MZ/T 011.3-2010</w:t>
            </w:r>
          </w:p>
        </w:tc>
        <w:tc>
          <w:tcPr>
            <w:tcW w:w="2694" w:type="dxa"/>
            <w:shd w:val="clear" w:color="auto" w:fill="auto"/>
            <w:tcMar>
              <w:top w:w="15" w:type="dxa"/>
              <w:left w:w="15" w:type="dxa"/>
              <w:right w:w="15" w:type="dxa"/>
            </w:tcMar>
            <w:vAlign w:val="center"/>
          </w:tcPr>
          <w:p>
            <w:pPr>
              <w:spacing w:line="440" w:lineRule="exact"/>
            </w:pPr>
            <w:r>
              <w:rPr>
                <w:rFonts w:hint="eastAsia"/>
                <w:b/>
                <w:bCs/>
                <w:u w:val="single"/>
              </w:rPr>
              <w:t>需出自《自然灾害应急救助物资生产商参考名录（2018版）》</w:t>
            </w:r>
          </w:p>
        </w:tc>
        <w:tc>
          <w:tcPr>
            <w:tcW w:w="1134" w:type="dxa"/>
          </w:tcPr>
          <w:p>
            <w:pPr>
              <w:spacing w:line="440" w:lineRule="exact"/>
              <w:rPr>
                <w:rFonts w:hint="eastAsia"/>
                <w:b/>
                <w:bCs/>
                <w:u w:val="single"/>
              </w:rPr>
            </w:pPr>
          </w:p>
        </w:tc>
        <w:tc>
          <w:tcPr>
            <w:tcW w:w="2721" w:type="dxa"/>
          </w:tcPr>
          <w:p>
            <w:pPr>
              <w:spacing w:line="440" w:lineRule="exact"/>
              <w:rPr>
                <w:rFonts w:hint="eastAsia"/>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trPr>
        <w:tc>
          <w:tcPr>
            <w:tcW w:w="758" w:type="dxa"/>
            <w:shd w:val="clear" w:color="auto" w:fill="auto"/>
            <w:tcMar>
              <w:top w:w="15" w:type="dxa"/>
              <w:left w:w="15" w:type="dxa"/>
              <w:right w:w="15" w:type="dxa"/>
            </w:tcMar>
            <w:vAlign w:val="center"/>
          </w:tcPr>
          <w:p>
            <w:pPr>
              <w:spacing w:line="440" w:lineRule="exact"/>
            </w:pPr>
            <w:r>
              <w:t>3</w:t>
            </w:r>
          </w:p>
        </w:tc>
        <w:tc>
          <w:tcPr>
            <w:tcW w:w="1435" w:type="dxa"/>
            <w:shd w:val="clear" w:color="auto" w:fill="auto"/>
            <w:tcMar>
              <w:top w:w="15" w:type="dxa"/>
              <w:left w:w="15" w:type="dxa"/>
              <w:right w:w="15" w:type="dxa"/>
            </w:tcMar>
            <w:vAlign w:val="center"/>
          </w:tcPr>
          <w:p>
            <w:pPr>
              <w:spacing w:line="440" w:lineRule="exact"/>
            </w:pPr>
            <w:r>
              <w:t>折叠桌椅</w:t>
            </w:r>
          </w:p>
        </w:tc>
        <w:tc>
          <w:tcPr>
            <w:tcW w:w="823" w:type="dxa"/>
            <w:shd w:val="clear" w:color="auto" w:fill="auto"/>
            <w:tcMar>
              <w:top w:w="15" w:type="dxa"/>
              <w:left w:w="15" w:type="dxa"/>
              <w:right w:w="15" w:type="dxa"/>
            </w:tcMar>
            <w:vAlign w:val="center"/>
          </w:tcPr>
          <w:p>
            <w:pPr>
              <w:spacing w:line="440" w:lineRule="exact"/>
            </w:pPr>
            <w:r>
              <w:t>600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 xml:space="preserve"> </w:t>
            </w:r>
            <w:r>
              <w:rPr>
                <w:rFonts w:hint="eastAsia"/>
              </w:rPr>
              <w:t>每套 1个桌子120*60CM(高低可升降55 60 70CM)和4个椅子28.5*26*40CM</w:t>
            </w:r>
          </w:p>
        </w:tc>
        <w:tc>
          <w:tcPr>
            <w:tcW w:w="2694" w:type="dxa"/>
            <w:shd w:val="clear" w:color="auto" w:fill="auto"/>
            <w:tcMar>
              <w:top w:w="15" w:type="dxa"/>
              <w:left w:w="15" w:type="dxa"/>
              <w:right w:w="15" w:type="dxa"/>
            </w:tcMar>
            <w:vAlign w:val="center"/>
          </w:tcPr>
          <w:p>
            <w:pPr>
              <w:spacing w:line="440" w:lineRule="exact"/>
            </w:pPr>
            <w:r>
              <w:t>铝合金 （桌面纤维防火密度板）</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trPr>
        <w:tc>
          <w:tcPr>
            <w:tcW w:w="758" w:type="dxa"/>
            <w:shd w:val="clear" w:color="auto" w:fill="auto"/>
            <w:tcMar>
              <w:top w:w="15" w:type="dxa"/>
              <w:left w:w="15" w:type="dxa"/>
              <w:right w:w="15" w:type="dxa"/>
            </w:tcMar>
            <w:vAlign w:val="center"/>
          </w:tcPr>
          <w:p>
            <w:pPr>
              <w:spacing w:line="440" w:lineRule="exact"/>
            </w:pPr>
            <w:r>
              <w:t>4</w:t>
            </w:r>
          </w:p>
        </w:tc>
        <w:tc>
          <w:tcPr>
            <w:tcW w:w="1435" w:type="dxa"/>
            <w:shd w:val="clear" w:color="auto" w:fill="auto"/>
            <w:tcMar>
              <w:top w:w="15" w:type="dxa"/>
              <w:left w:w="15" w:type="dxa"/>
              <w:right w:w="15" w:type="dxa"/>
            </w:tcMar>
            <w:vAlign w:val="center"/>
          </w:tcPr>
          <w:p>
            <w:pPr>
              <w:spacing w:line="440" w:lineRule="exact"/>
            </w:pPr>
            <w:r>
              <w:t>折叠床</w:t>
            </w:r>
          </w:p>
        </w:tc>
        <w:tc>
          <w:tcPr>
            <w:tcW w:w="823" w:type="dxa"/>
            <w:shd w:val="clear" w:color="auto" w:fill="auto"/>
            <w:tcMar>
              <w:top w:w="15" w:type="dxa"/>
              <w:left w:w="15" w:type="dxa"/>
              <w:right w:w="15" w:type="dxa"/>
            </w:tcMar>
            <w:vAlign w:val="center"/>
          </w:tcPr>
          <w:p>
            <w:pPr>
              <w:spacing w:line="440" w:lineRule="exact"/>
            </w:pPr>
            <w:r>
              <w:t>500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方管+格纹布 198*100*45</w:t>
            </w:r>
            <w:r>
              <w:rPr>
                <w:rFonts w:hint="eastAsia"/>
              </w:rPr>
              <w:t>、承重200KG</w:t>
            </w:r>
          </w:p>
        </w:tc>
        <w:tc>
          <w:tcPr>
            <w:tcW w:w="2694" w:type="dxa"/>
            <w:shd w:val="clear" w:color="auto" w:fill="auto"/>
            <w:tcMar>
              <w:top w:w="15" w:type="dxa"/>
              <w:left w:w="15" w:type="dxa"/>
              <w:right w:w="15" w:type="dxa"/>
            </w:tcMar>
            <w:vAlign w:val="center"/>
          </w:tcPr>
          <w:p>
            <w:pPr>
              <w:spacing w:line="440" w:lineRule="exact"/>
            </w:pPr>
            <w:r>
              <w:rPr>
                <w:rFonts w:hint="eastAsia"/>
                <w:b/>
                <w:bCs/>
                <w:u w:val="single"/>
              </w:rPr>
              <w:t>需出自《自然灾害应急救助物资生产商参考名录（2018版）》</w:t>
            </w:r>
          </w:p>
        </w:tc>
        <w:tc>
          <w:tcPr>
            <w:tcW w:w="1134" w:type="dxa"/>
          </w:tcPr>
          <w:p>
            <w:pPr>
              <w:spacing w:line="440" w:lineRule="exact"/>
              <w:rPr>
                <w:rFonts w:hint="eastAsia"/>
                <w:b/>
                <w:bCs/>
                <w:u w:val="single"/>
              </w:rPr>
            </w:pPr>
          </w:p>
        </w:tc>
        <w:tc>
          <w:tcPr>
            <w:tcW w:w="2721" w:type="dxa"/>
          </w:tcPr>
          <w:p>
            <w:pPr>
              <w:spacing w:line="440" w:lineRule="exact"/>
              <w:rPr>
                <w:rFonts w:hint="eastAsia"/>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1" w:hRule="atLeast"/>
        </w:trPr>
        <w:tc>
          <w:tcPr>
            <w:tcW w:w="758" w:type="dxa"/>
            <w:shd w:val="clear" w:color="auto" w:fill="auto"/>
            <w:tcMar>
              <w:top w:w="15" w:type="dxa"/>
              <w:left w:w="15" w:type="dxa"/>
              <w:right w:w="15" w:type="dxa"/>
            </w:tcMar>
            <w:vAlign w:val="center"/>
          </w:tcPr>
          <w:p>
            <w:pPr>
              <w:spacing w:line="440" w:lineRule="exact"/>
            </w:pPr>
            <w:r>
              <w:t>5</w:t>
            </w:r>
          </w:p>
        </w:tc>
        <w:tc>
          <w:tcPr>
            <w:tcW w:w="1435" w:type="dxa"/>
            <w:shd w:val="clear" w:color="auto" w:fill="auto"/>
            <w:tcMar>
              <w:top w:w="15" w:type="dxa"/>
              <w:left w:w="15" w:type="dxa"/>
              <w:right w:w="15" w:type="dxa"/>
            </w:tcMar>
            <w:vAlign w:val="center"/>
          </w:tcPr>
          <w:p>
            <w:pPr>
              <w:spacing w:line="440" w:lineRule="exact"/>
            </w:pPr>
            <w:r>
              <w:t>多功能睡袋</w:t>
            </w:r>
          </w:p>
        </w:tc>
        <w:tc>
          <w:tcPr>
            <w:tcW w:w="823" w:type="dxa"/>
            <w:shd w:val="clear" w:color="auto" w:fill="auto"/>
            <w:tcMar>
              <w:top w:w="15" w:type="dxa"/>
              <w:left w:w="15" w:type="dxa"/>
              <w:right w:w="15" w:type="dxa"/>
            </w:tcMar>
            <w:vAlign w:val="center"/>
          </w:tcPr>
          <w:p>
            <w:pPr>
              <w:spacing w:line="440" w:lineRule="exact"/>
            </w:pPr>
            <w:r>
              <w:t>300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冬季加厚180+30(帽子尺寸）*75CM 信封式睡袋，执行标准：MZ/T 014.4-2010</w:t>
            </w:r>
          </w:p>
        </w:tc>
        <w:tc>
          <w:tcPr>
            <w:tcW w:w="2694" w:type="dxa"/>
            <w:shd w:val="clear" w:color="auto" w:fill="auto"/>
            <w:tcMar>
              <w:top w:w="15" w:type="dxa"/>
              <w:left w:w="15" w:type="dxa"/>
              <w:right w:w="15" w:type="dxa"/>
            </w:tcMar>
            <w:vAlign w:val="center"/>
          </w:tcPr>
          <w:p>
            <w:pPr>
              <w:spacing w:line="440" w:lineRule="exact"/>
            </w:pPr>
            <w:r>
              <w:rPr>
                <w:rFonts w:hint="eastAsia"/>
                <w:b/>
                <w:bCs/>
                <w:u w:val="single"/>
              </w:rPr>
              <w:t>需出自《自然灾害应急救助物资生产商参考名录（2018版）》</w:t>
            </w:r>
          </w:p>
        </w:tc>
        <w:tc>
          <w:tcPr>
            <w:tcW w:w="1134" w:type="dxa"/>
          </w:tcPr>
          <w:p>
            <w:pPr>
              <w:spacing w:line="440" w:lineRule="exact"/>
              <w:rPr>
                <w:rFonts w:hint="eastAsia"/>
                <w:b/>
                <w:bCs/>
                <w:u w:val="single"/>
              </w:rPr>
            </w:pPr>
          </w:p>
        </w:tc>
        <w:tc>
          <w:tcPr>
            <w:tcW w:w="2721" w:type="dxa"/>
          </w:tcPr>
          <w:p>
            <w:pPr>
              <w:spacing w:line="440" w:lineRule="exact"/>
              <w:rPr>
                <w:rFonts w:hint="eastAsia"/>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trPr>
        <w:tc>
          <w:tcPr>
            <w:tcW w:w="758" w:type="dxa"/>
            <w:shd w:val="clear" w:color="auto" w:fill="auto"/>
            <w:tcMar>
              <w:top w:w="15" w:type="dxa"/>
              <w:left w:w="15" w:type="dxa"/>
              <w:right w:w="15" w:type="dxa"/>
            </w:tcMar>
            <w:vAlign w:val="center"/>
          </w:tcPr>
          <w:p>
            <w:pPr>
              <w:spacing w:line="440" w:lineRule="exact"/>
            </w:pPr>
            <w:r>
              <w:t>6</w:t>
            </w:r>
          </w:p>
        </w:tc>
        <w:tc>
          <w:tcPr>
            <w:tcW w:w="1435" w:type="dxa"/>
            <w:shd w:val="clear" w:color="auto" w:fill="auto"/>
            <w:tcMar>
              <w:top w:w="15" w:type="dxa"/>
              <w:left w:w="15" w:type="dxa"/>
              <w:right w:w="15" w:type="dxa"/>
            </w:tcMar>
            <w:vAlign w:val="center"/>
          </w:tcPr>
          <w:p>
            <w:pPr>
              <w:spacing w:line="440" w:lineRule="exact"/>
            </w:pPr>
            <w:r>
              <w:t>雨衣裤</w:t>
            </w:r>
          </w:p>
        </w:tc>
        <w:tc>
          <w:tcPr>
            <w:tcW w:w="823" w:type="dxa"/>
            <w:shd w:val="clear" w:color="auto" w:fill="auto"/>
            <w:tcMar>
              <w:top w:w="15" w:type="dxa"/>
              <w:left w:w="15" w:type="dxa"/>
              <w:right w:w="15" w:type="dxa"/>
            </w:tcMar>
            <w:vAlign w:val="center"/>
          </w:tcPr>
          <w:p>
            <w:pPr>
              <w:spacing w:line="440" w:lineRule="exact"/>
            </w:pPr>
            <w:r>
              <w:t>1500</w:t>
            </w:r>
          </w:p>
        </w:tc>
        <w:tc>
          <w:tcPr>
            <w:tcW w:w="653" w:type="dxa"/>
            <w:shd w:val="clear" w:color="auto" w:fill="auto"/>
            <w:tcMar>
              <w:top w:w="15" w:type="dxa"/>
              <w:left w:w="15" w:type="dxa"/>
              <w:right w:w="15" w:type="dxa"/>
            </w:tcMar>
            <w:vAlign w:val="center"/>
          </w:tcPr>
          <w:p>
            <w:pPr>
              <w:spacing w:line="440" w:lineRule="exact"/>
            </w:pPr>
            <w:r>
              <w:t>套</w:t>
            </w:r>
          </w:p>
        </w:tc>
        <w:tc>
          <w:tcPr>
            <w:tcW w:w="3717" w:type="dxa"/>
            <w:shd w:val="clear" w:color="auto" w:fill="auto"/>
            <w:tcMar>
              <w:top w:w="15" w:type="dxa"/>
              <w:left w:w="15" w:type="dxa"/>
              <w:right w:w="15" w:type="dxa"/>
            </w:tcMar>
            <w:vAlign w:val="center"/>
          </w:tcPr>
          <w:p>
            <w:pPr>
              <w:spacing w:line="440" w:lineRule="exact"/>
            </w:pPr>
            <w:r>
              <w:t>高档双层带帽檐 M-XXXL 带反光条</w:t>
            </w:r>
          </w:p>
        </w:tc>
        <w:tc>
          <w:tcPr>
            <w:tcW w:w="2694" w:type="dxa"/>
            <w:shd w:val="clear" w:color="auto" w:fill="auto"/>
            <w:tcMar>
              <w:top w:w="15" w:type="dxa"/>
              <w:left w:w="15" w:type="dxa"/>
              <w:right w:w="15" w:type="dxa"/>
            </w:tcMar>
            <w:vAlign w:val="center"/>
          </w:tcPr>
          <w:p>
            <w:pPr>
              <w:spacing w:line="440" w:lineRule="exact"/>
            </w:pPr>
            <w:r>
              <w:rPr>
                <w:rFonts w:hint="eastAsia"/>
              </w:rPr>
              <w:t>M码300套、L码300套、XL码300套、XXL码300套、XXXL码300套、</w:t>
            </w:r>
            <w:r>
              <w:rPr>
                <w:rFonts w:hint="eastAsia"/>
                <w:b/>
                <w:bCs/>
                <w:u w:val="single"/>
              </w:rPr>
              <w:t>需出自《自然灾害应急救助物资生产商参考名录（2018版）》</w:t>
            </w:r>
          </w:p>
        </w:tc>
        <w:tc>
          <w:tcPr>
            <w:tcW w:w="1134" w:type="dxa"/>
          </w:tcPr>
          <w:p>
            <w:pPr>
              <w:spacing w:line="440" w:lineRule="exact"/>
              <w:rPr>
                <w:rFonts w:hint="eastAsia"/>
              </w:rPr>
            </w:pPr>
          </w:p>
        </w:tc>
        <w:tc>
          <w:tcPr>
            <w:tcW w:w="2721" w:type="dxa"/>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trPr>
        <w:tc>
          <w:tcPr>
            <w:tcW w:w="758" w:type="dxa"/>
            <w:shd w:val="clear" w:color="auto" w:fill="auto"/>
            <w:tcMar>
              <w:top w:w="15" w:type="dxa"/>
              <w:left w:w="15" w:type="dxa"/>
              <w:right w:w="15" w:type="dxa"/>
            </w:tcMar>
            <w:vAlign w:val="center"/>
          </w:tcPr>
          <w:p>
            <w:pPr>
              <w:spacing w:line="440" w:lineRule="exact"/>
            </w:pPr>
            <w:r>
              <w:t>7</w:t>
            </w:r>
          </w:p>
        </w:tc>
        <w:tc>
          <w:tcPr>
            <w:tcW w:w="1435" w:type="dxa"/>
            <w:shd w:val="clear" w:color="auto" w:fill="auto"/>
            <w:tcMar>
              <w:top w:w="15" w:type="dxa"/>
              <w:left w:w="15" w:type="dxa"/>
              <w:right w:w="15" w:type="dxa"/>
            </w:tcMar>
            <w:vAlign w:val="center"/>
          </w:tcPr>
          <w:p>
            <w:pPr>
              <w:spacing w:line="440" w:lineRule="exact"/>
            </w:pPr>
            <w:r>
              <w:t>雨鞋</w:t>
            </w:r>
          </w:p>
        </w:tc>
        <w:tc>
          <w:tcPr>
            <w:tcW w:w="823" w:type="dxa"/>
            <w:shd w:val="clear" w:color="auto" w:fill="auto"/>
            <w:tcMar>
              <w:top w:w="15" w:type="dxa"/>
              <w:left w:w="15" w:type="dxa"/>
              <w:right w:w="15" w:type="dxa"/>
            </w:tcMar>
            <w:vAlign w:val="center"/>
          </w:tcPr>
          <w:p>
            <w:pPr>
              <w:spacing w:line="440" w:lineRule="exact"/>
            </w:pPr>
            <w:r>
              <w:t>1500</w:t>
            </w:r>
          </w:p>
        </w:tc>
        <w:tc>
          <w:tcPr>
            <w:tcW w:w="653" w:type="dxa"/>
            <w:shd w:val="clear" w:color="auto" w:fill="auto"/>
            <w:tcMar>
              <w:top w:w="15" w:type="dxa"/>
              <w:left w:w="15" w:type="dxa"/>
              <w:right w:w="15" w:type="dxa"/>
            </w:tcMar>
            <w:vAlign w:val="center"/>
          </w:tcPr>
          <w:p>
            <w:pPr>
              <w:spacing w:line="440" w:lineRule="exact"/>
            </w:pPr>
            <w:r>
              <w:t>双</w:t>
            </w:r>
          </w:p>
        </w:tc>
        <w:tc>
          <w:tcPr>
            <w:tcW w:w="3717" w:type="dxa"/>
            <w:shd w:val="clear" w:color="auto" w:fill="auto"/>
            <w:tcMar>
              <w:top w:w="15" w:type="dxa"/>
              <w:left w:w="15" w:type="dxa"/>
              <w:right w:w="15" w:type="dxa"/>
            </w:tcMar>
            <w:vAlign w:val="center"/>
          </w:tcPr>
          <w:p>
            <w:pPr>
              <w:spacing w:line="440" w:lineRule="exact"/>
            </w:pPr>
            <w:r>
              <w:rPr>
                <w:rFonts w:hint="eastAsia"/>
              </w:rPr>
              <w:t>高帮，</w:t>
            </w:r>
            <w:r>
              <w:t>3</w:t>
            </w:r>
            <w:r>
              <w:rPr>
                <w:rFonts w:hint="eastAsia"/>
              </w:rPr>
              <w:t>7</w:t>
            </w:r>
            <w:r>
              <w:t>-4</w:t>
            </w:r>
            <w:r>
              <w:rPr>
                <w:rFonts w:hint="eastAsia"/>
              </w:rPr>
              <w:t>4</w:t>
            </w:r>
            <w:r>
              <w:t>共7个码 高38*42CM筒围</w:t>
            </w:r>
          </w:p>
        </w:tc>
        <w:tc>
          <w:tcPr>
            <w:tcW w:w="2694" w:type="dxa"/>
            <w:shd w:val="clear" w:color="auto" w:fill="auto"/>
            <w:tcMar>
              <w:top w:w="15" w:type="dxa"/>
              <w:left w:w="15" w:type="dxa"/>
              <w:right w:w="15" w:type="dxa"/>
            </w:tcMar>
            <w:vAlign w:val="center"/>
          </w:tcPr>
          <w:p>
            <w:pPr>
              <w:spacing w:line="440" w:lineRule="exact"/>
            </w:pPr>
            <w:r>
              <w:rPr>
                <w:rFonts w:hint="eastAsia"/>
              </w:rPr>
              <w:t>37码200双、38码200双、39码200双、40码200双、41码200双、42码200双、43码200双、44码100双，</w:t>
            </w:r>
            <w:r>
              <w:rPr>
                <w:rFonts w:hint="eastAsia"/>
                <w:b/>
                <w:bCs/>
                <w:u w:val="single"/>
              </w:rPr>
              <w:t>需出自《自然灾害应急救助物资生产商参考名录（2018版）》</w:t>
            </w:r>
          </w:p>
        </w:tc>
        <w:tc>
          <w:tcPr>
            <w:tcW w:w="1134" w:type="dxa"/>
          </w:tcPr>
          <w:p>
            <w:pPr>
              <w:spacing w:line="440" w:lineRule="exact"/>
              <w:rPr>
                <w:rFonts w:hint="eastAsia"/>
              </w:rPr>
            </w:pPr>
          </w:p>
        </w:tc>
        <w:tc>
          <w:tcPr>
            <w:tcW w:w="2721" w:type="dxa"/>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rPr>
        <w:tc>
          <w:tcPr>
            <w:tcW w:w="758" w:type="dxa"/>
            <w:shd w:val="clear" w:color="auto" w:fill="auto"/>
            <w:tcMar>
              <w:top w:w="15" w:type="dxa"/>
              <w:left w:w="15" w:type="dxa"/>
              <w:right w:w="15" w:type="dxa"/>
            </w:tcMar>
            <w:vAlign w:val="center"/>
          </w:tcPr>
          <w:p>
            <w:pPr>
              <w:spacing w:line="440" w:lineRule="exact"/>
            </w:pPr>
            <w:r>
              <w:t>8</w:t>
            </w:r>
          </w:p>
        </w:tc>
        <w:tc>
          <w:tcPr>
            <w:tcW w:w="1435" w:type="dxa"/>
            <w:shd w:val="clear" w:color="auto" w:fill="auto"/>
            <w:tcMar>
              <w:top w:w="15" w:type="dxa"/>
              <w:left w:w="15" w:type="dxa"/>
              <w:right w:w="15" w:type="dxa"/>
            </w:tcMar>
            <w:vAlign w:val="center"/>
          </w:tcPr>
          <w:p>
            <w:pPr>
              <w:spacing w:line="440" w:lineRule="exact"/>
            </w:pPr>
            <w:r>
              <w:t>场地照明灯</w:t>
            </w:r>
          </w:p>
        </w:tc>
        <w:tc>
          <w:tcPr>
            <w:tcW w:w="823" w:type="dxa"/>
            <w:shd w:val="clear" w:color="auto" w:fill="auto"/>
            <w:tcMar>
              <w:top w:w="15" w:type="dxa"/>
              <w:left w:w="15" w:type="dxa"/>
              <w:right w:w="15" w:type="dxa"/>
            </w:tcMar>
            <w:vAlign w:val="center"/>
          </w:tcPr>
          <w:p>
            <w:pPr>
              <w:spacing w:line="440" w:lineRule="exact"/>
            </w:pPr>
            <w:r>
              <w:t>10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光源IP66防护等级 80*32CM</w:t>
            </w:r>
          </w:p>
        </w:tc>
        <w:tc>
          <w:tcPr>
            <w:tcW w:w="2694" w:type="dxa"/>
            <w:shd w:val="clear" w:color="auto" w:fill="auto"/>
            <w:tcMar>
              <w:top w:w="15" w:type="dxa"/>
              <w:left w:w="15" w:type="dxa"/>
              <w:right w:w="15" w:type="dxa"/>
            </w:tcMar>
            <w:vAlign w:val="center"/>
          </w:tcPr>
          <w:p>
            <w:pPr>
              <w:spacing w:line="440" w:lineRule="exact"/>
            </w:pPr>
            <w:r>
              <w:t>800W，户外防水大射灯</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758" w:type="dxa"/>
            <w:shd w:val="clear" w:color="auto" w:fill="auto"/>
            <w:tcMar>
              <w:top w:w="15" w:type="dxa"/>
              <w:left w:w="15" w:type="dxa"/>
              <w:right w:w="15" w:type="dxa"/>
            </w:tcMar>
            <w:vAlign w:val="center"/>
          </w:tcPr>
          <w:p>
            <w:pPr>
              <w:spacing w:line="440" w:lineRule="exact"/>
            </w:pPr>
            <w:r>
              <w:t>9</w:t>
            </w:r>
          </w:p>
        </w:tc>
        <w:tc>
          <w:tcPr>
            <w:tcW w:w="1435" w:type="dxa"/>
            <w:shd w:val="clear" w:color="auto" w:fill="auto"/>
            <w:tcMar>
              <w:top w:w="15" w:type="dxa"/>
              <w:left w:w="15" w:type="dxa"/>
              <w:right w:w="15" w:type="dxa"/>
            </w:tcMar>
            <w:vAlign w:val="center"/>
          </w:tcPr>
          <w:p>
            <w:pPr>
              <w:spacing w:line="440" w:lineRule="exact"/>
            </w:pPr>
            <w:r>
              <w:t>简易厕所</w:t>
            </w:r>
          </w:p>
        </w:tc>
        <w:tc>
          <w:tcPr>
            <w:tcW w:w="823" w:type="dxa"/>
            <w:shd w:val="clear" w:color="auto" w:fill="auto"/>
            <w:tcMar>
              <w:top w:w="15" w:type="dxa"/>
              <w:left w:w="15" w:type="dxa"/>
              <w:right w:w="15" w:type="dxa"/>
            </w:tcMar>
            <w:vAlign w:val="center"/>
          </w:tcPr>
          <w:p>
            <w:pPr>
              <w:spacing w:line="440" w:lineRule="exact"/>
            </w:pPr>
            <w:r>
              <w:t>10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组装好，1.1*1.1*2.35带粪便收集装置</w:t>
            </w:r>
          </w:p>
        </w:tc>
        <w:tc>
          <w:tcPr>
            <w:tcW w:w="2694" w:type="dxa"/>
            <w:shd w:val="clear" w:color="auto" w:fill="auto"/>
            <w:tcMar>
              <w:top w:w="15" w:type="dxa"/>
              <w:left w:w="15" w:type="dxa"/>
              <w:right w:w="15" w:type="dxa"/>
            </w:tcMar>
            <w:vAlign w:val="center"/>
          </w:tcPr>
          <w:p>
            <w:pPr>
              <w:spacing w:line="440" w:lineRule="exact"/>
            </w:pPr>
            <w:r>
              <w:rPr>
                <w:rFonts w:hint="eastAsia"/>
                <w:b/>
                <w:bCs/>
                <w:u w:val="single"/>
              </w:rPr>
              <w:t>需出自《自然灾害应急救助物资生产商参考名录（2018版）》</w:t>
            </w:r>
          </w:p>
        </w:tc>
        <w:tc>
          <w:tcPr>
            <w:tcW w:w="1134" w:type="dxa"/>
          </w:tcPr>
          <w:p>
            <w:pPr>
              <w:spacing w:line="440" w:lineRule="exact"/>
              <w:rPr>
                <w:rFonts w:hint="eastAsia"/>
                <w:b/>
                <w:bCs/>
                <w:u w:val="single"/>
              </w:rPr>
            </w:pPr>
          </w:p>
        </w:tc>
        <w:tc>
          <w:tcPr>
            <w:tcW w:w="2721" w:type="dxa"/>
          </w:tcPr>
          <w:p>
            <w:pPr>
              <w:spacing w:line="440" w:lineRule="exact"/>
              <w:rPr>
                <w:rFonts w:hint="eastAsia"/>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758" w:type="dxa"/>
            <w:shd w:val="clear" w:color="auto" w:fill="auto"/>
            <w:tcMar>
              <w:top w:w="15" w:type="dxa"/>
              <w:left w:w="15" w:type="dxa"/>
              <w:right w:w="15" w:type="dxa"/>
            </w:tcMar>
            <w:vAlign w:val="center"/>
          </w:tcPr>
          <w:p>
            <w:pPr>
              <w:spacing w:line="440" w:lineRule="exact"/>
            </w:pPr>
            <w:r>
              <w:t>10</w:t>
            </w:r>
          </w:p>
        </w:tc>
        <w:tc>
          <w:tcPr>
            <w:tcW w:w="1435" w:type="dxa"/>
            <w:shd w:val="clear" w:color="auto" w:fill="auto"/>
            <w:tcMar>
              <w:top w:w="15" w:type="dxa"/>
              <w:left w:w="15" w:type="dxa"/>
              <w:right w:w="15" w:type="dxa"/>
            </w:tcMar>
            <w:vAlign w:val="center"/>
          </w:tcPr>
          <w:p>
            <w:pPr>
              <w:spacing w:line="440" w:lineRule="exact"/>
            </w:pPr>
            <w:r>
              <w:t>多功能喊话器</w:t>
            </w:r>
          </w:p>
        </w:tc>
        <w:tc>
          <w:tcPr>
            <w:tcW w:w="823" w:type="dxa"/>
            <w:shd w:val="clear" w:color="auto" w:fill="auto"/>
            <w:tcMar>
              <w:top w:w="15" w:type="dxa"/>
              <w:left w:w="15" w:type="dxa"/>
              <w:right w:w="15" w:type="dxa"/>
            </w:tcMar>
            <w:vAlign w:val="center"/>
          </w:tcPr>
          <w:p>
            <w:pPr>
              <w:spacing w:line="440" w:lineRule="exact"/>
            </w:pPr>
            <w:r>
              <w:t>10</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 xml:space="preserve"> 无线 含一块7小时锂电池 传送距离200米 200*180MM 录音240秒</w:t>
            </w:r>
          </w:p>
        </w:tc>
        <w:tc>
          <w:tcPr>
            <w:tcW w:w="2694" w:type="dxa"/>
            <w:shd w:val="clear" w:color="auto" w:fill="auto"/>
            <w:tcMar>
              <w:top w:w="15" w:type="dxa"/>
              <w:left w:w="15" w:type="dxa"/>
              <w:right w:w="15" w:type="dxa"/>
            </w:tcMar>
            <w:vAlign w:val="center"/>
          </w:tcPr>
          <w:p>
            <w:pPr>
              <w:spacing w:line="440" w:lineRule="exact"/>
            </w:pPr>
            <w:r>
              <w:t>手持式30W</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rPr>
        <w:tc>
          <w:tcPr>
            <w:tcW w:w="758" w:type="dxa"/>
            <w:shd w:val="clear" w:color="auto" w:fill="auto"/>
            <w:tcMar>
              <w:top w:w="15" w:type="dxa"/>
              <w:left w:w="15" w:type="dxa"/>
              <w:right w:w="15" w:type="dxa"/>
            </w:tcMar>
            <w:vAlign w:val="center"/>
          </w:tcPr>
          <w:p>
            <w:pPr>
              <w:spacing w:line="440" w:lineRule="exact"/>
            </w:pPr>
            <w:r>
              <w:t>11</w:t>
            </w:r>
          </w:p>
        </w:tc>
        <w:tc>
          <w:tcPr>
            <w:tcW w:w="1435" w:type="dxa"/>
            <w:shd w:val="clear" w:color="auto" w:fill="auto"/>
            <w:tcMar>
              <w:top w:w="15" w:type="dxa"/>
              <w:left w:w="15" w:type="dxa"/>
              <w:right w:w="15" w:type="dxa"/>
            </w:tcMar>
            <w:vAlign w:val="center"/>
          </w:tcPr>
          <w:p>
            <w:pPr>
              <w:spacing w:line="440" w:lineRule="exact"/>
            </w:pPr>
            <w:r>
              <w:t>棉被</w:t>
            </w:r>
          </w:p>
        </w:tc>
        <w:tc>
          <w:tcPr>
            <w:tcW w:w="823" w:type="dxa"/>
            <w:shd w:val="clear" w:color="auto" w:fill="auto"/>
            <w:tcMar>
              <w:top w:w="15" w:type="dxa"/>
              <w:left w:w="15" w:type="dxa"/>
              <w:right w:w="15" w:type="dxa"/>
            </w:tcMar>
            <w:vAlign w:val="center"/>
          </w:tcPr>
          <w:p>
            <w:pPr>
              <w:spacing w:line="440" w:lineRule="exact"/>
            </w:pPr>
            <w:r>
              <w:t>1600</w:t>
            </w:r>
          </w:p>
        </w:tc>
        <w:tc>
          <w:tcPr>
            <w:tcW w:w="653" w:type="dxa"/>
            <w:shd w:val="clear" w:color="auto" w:fill="auto"/>
            <w:tcMar>
              <w:top w:w="15" w:type="dxa"/>
              <w:left w:w="15" w:type="dxa"/>
              <w:right w:w="15" w:type="dxa"/>
            </w:tcMar>
            <w:vAlign w:val="center"/>
          </w:tcPr>
          <w:p>
            <w:pPr>
              <w:spacing w:line="440" w:lineRule="exact"/>
            </w:pPr>
            <w:r>
              <w:t>条</w:t>
            </w:r>
          </w:p>
        </w:tc>
        <w:tc>
          <w:tcPr>
            <w:tcW w:w="3717" w:type="dxa"/>
            <w:shd w:val="clear" w:color="auto" w:fill="auto"/>
            <w:tcMar>
              <w:top w:w="15" w:type="dxa"/>
              <w:left w:w="15" w:type="dxa"/>
              <w:right w:w="15" w:type="dxa"/>
            </w:tcMar>
            <w:vAlign w:val="center"/>
          </w:tcPr>
          <w:p>
            <w:pPr>
              <w:spacing w:line="440" w:lineRule="exact"/>
            </w:pPr>
            <w:r>
              <w:t xml:space="preserve"> 标准GB/T19001-2008/ISO9001:2008，2米*2.3米</w:t>
            </w:r>
          </w:p>
        </w:tc>
        <w:tc>
          <w:tcPr>
            <w:tcW w:w="2694" w:type="dxa"/>
            <w:shd w:val="clear" w:color="auto" w:fill="auto"/>
            <w:tcMar>
              <w:top w:w="15" w:type="dxa"/>
              <w:left w:w="15" w:type="dxa"/>
              <w:right w:w="15" w:type="dxa"/>
            </w:tcMar>
            <w:vAlign w:val="center"/>
          </w:tcPr>
          <w:p>
            <w:pPr>
              <w:spacing w:line="440" w:lineRule="exact"/>
            </w:pPr>
            <w:r>
              <w:t>5件套床单被套枕套枕芯被芯</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trPr>
        <w:tc>
          <w:tcPr>
            <w:tcW w:w="758" w:type="dxa"/>
            <w:shd w:val="clear" w:color="auto" w:fill="auto"/>
            <w:tcMar>
              <w:top w:w="15" w:type="dxa"/>
              <w:left w:w="15" w:type="dxa"/>
              <w:right w:w="15" w:type="dxa"/>
            </w:tcMar>
            <w:vAlign w:val="center"/>
          </w:tcPr>
          <w:p>
            <w:pPr>
              <w:spacing w:line="440" w:lineRule="exact"/>
            </w:pPr>
            <w:r>
              <w:t>12</w:t>
            </w:r>
          </w:p>
        </w:tc>
        <w:tc>
          <w:tcPr>
            <w:tcW w:w="1435" w:type="dxa"/>
            <w:shd w:val="clear" w:color="auto" w:fill="auto"/>
            <w:tcMar>
              <w:top w:w="15" w:type="dxa"/>
              <w:left w:w="15" w:type="dxa"/>
              <w:right w:w="15" w:type="dxa"/>
            </w:tcMar>
            <w:vAlign w:val="center"/>
          </w:tcPr>
          <w:p>
            <w:pPr>
              <w:spacing w:line="440" w:lineRule="exact"/>
            </w:pPr>
            <w:r>
              <w:t>全棉夏被</w:t>
            </w:r>
          </w:p>
        </w:tc>
        <w:tc>
          <w:tcPr>
            <w:tcW w:w="823" w:type="dxa"/>
            <w:shd w:val="clear" w:color="auto" w:fill="auto"/>
            <w:tcMar>
              <w:top w:w="15" w:type="dxa"/>
              <w:left w:w="15" w:type="dxa"/>
              <w:right w:w="15" w:type="dxa"/>
            </w:tcMar>
            <w:vAlign w:val="center"/>
          </w:tcPr>
          <w:p>
            <w:pPr>
              <w:spacing w:line="440" w:lineRule="exact"/>
            </w:pPr>
            <w:r>
              <w:t>1900</w:t>
            </w:r>
          </w:p>
        </w:tc>
        <w:tc>
          <w:tcPr>
            <w:tcW w:w="653" w:type="dxa"/>
            <w:shd w:val="clear" w:color="auto" w:fill="auto"/>
            <w:tcMar>
              <w:top w:w="15" w:type="dxa"/>
              <w:left w:w="15" w:type="dxa"/>
              <w:right w:w="15" w:type="dxa"/>
            </w:tcMar>
            <w:vAlign w:val="center"/>
          </w:tcPr>
          <w:p>
            <w:pPr>
              <w:spacing w:line="440" w:lineRule="exact"/>
            </w:pPr>
            <w:r>
              <w:t>条</w:t>
            </w:r>
          </w:p>
        </w:tc>
        <w:tc>
          <w:tcPr>
            <w:tcW w:w="3717" w:type="dxa"/>
            <w:shd w:val="clear" w:color="auto" w:fill="auto"/>
            <w:tcMar>
              <w:top w:w="15" w:type="dxa"/>
              <w:left w:w="15" w:type="dxa"/>
              <w:right w:w="15" w:type="dxa"/>
            </w:tcMar>
            <w:vAlign w:val="center"/>
          </w:tcPr>
          <w:p>
            <w:pPr>
              <w:spacing w:line="440" w:lineRule="exact"/>
            </w:pPr>
            <w:r>
              <w:t>标准GB/T19001-2008/ISO9001:2008，2米*2.3米</w:t>
            </w:r>
          </w:p>
        </w:tc>
        <w:tc>
          <w:tcPr>
            <w:tcW w:w="2694" w:type="dxa"/>
            <w:shd w:val="clear" w:color="auto" w:fill="auto"/>
            <w:tcMar>
              <w:top w:w="15" w:type="dxa"/>
              <w:left w:w="15" w:type="dxa"/>
              <w:right w:w="15" w:type="dxa"/>
            </w:tcMar>
            <w:vAlign w:val="center"/>
          </w:tcPr>
          <w:p>
            <w:pPr>
              <w:spacing w:line="440" w:lineRule="exact"/>
            </w:pPr>
            <w:r>
              <w:t>5件套床单被套枕套枕芯被芯</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trPr>
        <w:tc>
          <w:tcPr>
            <w:tcW w:w="758" w:type="dxa"/>
            <w:shd w:val="clear" w:color="auto" w:fill="auto"/>
            <w:tcMar>
              <w:top w:w="15" w:type="dxa"/>
              <w:left w:w="15" w:type="dxa"/>
              <w:right w:w="15" w:type="dxa"/>
            </w:tcMar>
            <w:vAlign w:val="center"/>
          </w:tcPr>
          <w:p>
            <w:pPr>
              <w:spacing w:line="440" w:lineRule="exact"/>
            </w:pPr>
            <w:r>
              <w:t>13</w:t>
            </w:r>
          </w:p>
        </w:tc>
        <w:tc>
          <w:tcPr>
            <w:tcW w:w="1435" w:type="dxa"/>
            <w:shd w:val="clear" w:color="auto" w:fill="auto"/>
            <w:tcMar>
              <w:top w:w="15" w:type="dxa"/>
              <w:left w:w="15" w:type="dxa"/>
              <w:right w:w="15" w:type="dxa"/>
            </w:tcMar>
            <w:vAlign w:val="center"/>
          </w:tcPr>
          <w:p>
            <w:pPr>
              <w:spacing w:line="440" w:lineRule="exact"/>
            </w:pPr>
            <w:r>
              <w:t>蚊帐</w:t>
            </w:r>
          </w:p>
        </w:tc>
        <w:tc>
          <w:tcPr>
            <w:tcW w:w="823" w:type="dxa"/>
            <w:shd w:val="clear" w:color="auto" w:fill="auto"/>
            <w:tcMar>
              <w:top w:w="15" w:type="dxa"/>
              <w:left w:w="15" w:type="dxa"/>
              <w:right w:w="15" w:type="dxa"/>
            </w:tcMar>
            <w:vAlign w:val="center"/>
          </w:tcPr>
          <w:p>
            <w:pPr>
              <w:spacing w:line="440" w:lineRule="exact"/>
            </w:pPr>
            <w:r>
              <w:t>500</w:t>
            </w:r>
          </w:p>
        </w:tc>
        <w:tc>
          <w:tcPr>
            <w:tcW w:w="653" w:type="dxa"/>
            <w:shd w:val="clear" w:color="auto" w:fill="auto"/>
            <w:tcMar>
              <w:top w:w="15" w:type="dxa"/>
              <w:left w:w="15" w:type="dxa"/>
              <w:right w:w="15" w:type="dxa"/>
            </w:tcMar>
            <w:vAlign w:val="center"/>
          </w:tcPr>
          <w:p>
            <w:pPr>
              <w:spacing w:line="440" w:lineRule="exact"/>
            </w:pPr>
            <w:r>
              <w:t>顶</w:t>
            </w:r>
          </w:p>
        </w:tc>
        <w:tc>
          <w:tcPr>
            <w:tcW w:w="3717" w:type="dxa"/>
            <w:shd w:val="clear" w:color="auto" w:fill="auto"/>
            <w:tcMar>
              <w:top w:w="15" w:type="dxa"/>
              <w:left w:w="15" w:type="dxa"/>
              <w:right w:w="15" w:type="dxa"/>
            </w:tcMar>
            <w:vAlign w:val="center"/>
          </w:tcPr>
          <w:p>
            <w:pPr>
              <w:spacing w:line="440" w:lineRule="exact"/>
            </w:pPr>
            <w:r>
              <w:t xml:space="preserve"> 1.5*2.0*1.8 M 户外专用 无门</w:t>
            </w:r>
          </w:p>
        </w:tc>
        <w:tc>
          <w:tcPr>
            <w:tcW w:w="2694" w:type="dxa"/>
            <w:shd w:val="clear" w:color="auto" w:fill="auto"/>
            <w:tcMar>
              <w:top w:w="15" w:type="dxa"/>
              <w:left w:w="15" w:type="dxa"/>
              <w:right w:w="15" w:type="dxa"/>
            </w:tcMar>
            <w:vAlign w:val="center"/>
          </w:tcPr>
          <w:p>
            <w:pPr>
              <w:spacing w:line="440" w:lineRule="exact"/>
            </w:pPr>
            <w:r>
              <w:rPr>
                <w:rFonts w:hint="eastAsia"/>
                <w:b/>
                <w:bCs/>
                <w:u w:val="single"/>
              </w:rPr>
              <w:t>需出自《自然灾害应急救助物资生产商参考名录（2018版）》</w:t>
            </w:r>
          </w:p>
        </w:tc>
        <w:tc>
          <w:tcPr>
            <w:tcW w:w="1134" w:type="dxa"/>
          </w:tcPr>
          <w:p>
            <w:pPr>
              <w:spacing w:line="440" w:lineRule="exact"/>
              <w:rPr>
                <w:rFonts w:hint="eastAsia"/>
                <w:b/>
                <w:bCs/>
                <w:u w:val="single"/>
              </w:rPr>
            </w:pPr>
          </w:p>
        </w:tc>
        <w:tc>
          <w:tcPr>
            <w:tcW w:w="2721" w:type="dxa"/>
          </w:tcPr>
          <w:p>
            <w:pPr>
              <w:spacing w:line="440" w:lineRule="exact"/>
              <w:rPr>
                <w:rFonts w:hint="eastAsia"/>
                <w:b/>
                <w:b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7" w:hRule="atLeast"/>
        </w:trPr>
        <w:tc>
          <w:tcPr>
            <w:tcW w:w="758" w:type="dxa"/>
            <w:shd w:val="clear" w:color="auto" w:fill="auto"/>
            <w:tcMar>
              <w:top w:w="15" w:type="dxa"/>
              <w:left w:w="15" w:type="dxa"/>
              <w:right w:w="15" w:type="dxa"/>
            </w:tcMar>
            <w:vAlign w:val="center"/>
          </w:tcPr>
          <w:p>
            <w:pPr>
              <w:spacing w:line="440" w:lineRule="exact"/>
            </w:pPr>
            <w:r>
              <w:t>14</w:t>
            </w:r>
          </w:p>
        </w:tc>
        <w:tc>
          <w:tcPr>
            <w:tcW w:w="1435" w:type="dxa"/>
            <w:shd w:val="clear" w:color="auto" w:fill="auto"/>
            <w:tcMar>
              <w:top w:w="15" w:type="dxa"/>
              <w:left w:w="15" w:type="dxa"/>
              <w:right w:w="15" w:type="dxa"/>
            </w:tcMar>
            <w:vAlign w:val="center"/>
          </w:tcPr>
          <w:p>
            <w:pPr>
              <w:spacing w:line="440" w:lineRule="exact"/>
            </w:pPr>
            <w:r>
              <w:t>雨伞</w:t>
            </w:r>
          </w:p>
        </w:tc>
        <w:tc>
          <w:tcPr>
            <w:tcW w:w="823" w:type="dxa"/>
            <w:shd w:val="clear" w:color="auto" w:fill="auto"/>
            <w:tcMar>
              <w:top w:w="15" w:type="dxa"/>
              <w:left w:w="15" w:type="dxa"/>
              <w:right w:w="15" w:type="dxa"/>
            </w:tcMar>
            <w:vAlign w:val="center"/>
          </w:tcPr>
          <w:p>
            <w:pPr>
              <w:spacing w:line="440" w:lineRule="exact"/>
            </w:pPr>
            <w:r>
              <w:t>50</w:t>
            </w:r>
          </w:p>
        </w:tc>
        <w:tc>
          <w:tcPr>
            <w:tcW w:w="653" w:type="dxa"/>
            <w:shd w:val="clear" w:color="auto" w:fill="auto"/>
            <w:tcMar>
              <w:top w:w="15" w:type="dxa"/>
              <w:left w:w="15" w:type="dxa"/>
              <w:right w:w="15" w:type="dxa"/>
            </w:tcMar>
            <w:vAlign w:val="center"/>
          </w:tcPr>
          <w:p>
            <w:pPr>
              <w:spacing w:line="440" w:lineRule="exact"/>
            </w:pPr>
            <w:r>
              <w:t>支</w:t>
            </w:r>
          </w:p>
        </w:tc>
        <w:tc>
          <w:tcPr>
            <w:tcW w:w="3717" w:type="dxa"/>
            <w:shd w:val="clear" w:color="auto" w:fill="auto"/>
            <w:tcMar>
              <w:top w:w="15" w:type="dxa"/>
              <w:left w:w="15" w:type="dxa"/>
              <w:right w:w="15" w:type="dxa"/>
            </w:tcMar>
            <w:vAlign w:val="center"/>
          </w:tcPr>
          <w:p>
            <w:pPr>
              <w:spacing w:line="440" w:lineRule="exact"/>
            </w:pPr>
            <w:r>
              <w:t>长柄伞撑开尺寸126*92CM 半自动</w:t>
            </w:r>
          </w:p>
        </w:tc>
        <w:tc>
          <w:tcPr>
            <w:tcW w:w="2694" w:type="dxa"/>
            <w:shd w:val="clear" w:color="auto" w:fill="auto"/>
            <w:tcMar>
              <w:top w:w="15" w:type="dxa"/>
              <w:left w:w="15" w:type="dxa"/>
              <w:right w:w="15" w:type="dxa"/>
            </w:tcMar>
            <w:vAlign w:val="center"/>
          </w:tcPr>
          <w:p>
            <w:pPr>
              <w:spacing w:line="440" w:lineRule="exact"/>
            </w:pP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trPr>
        <w:tc>
          <w:tcPr>
            <w:tcW w:w="758" w:type="dxa"/>
            <w:vMerge w:val="restart"/>
            <w:shd w:val="clear" w:color="auto" w:fill="auto"/>
            <w:tcMar>
              <w:top w:w="15" w:type="dxa"/>
              <w:left w:w="15" w:type="dxa"/>
              <w:right w:w="15" w:type="dxa"/>
            </w:tcMar>
            <w:vAlign w:val="center"/>
          </w:tcPr>
          <w:p>
            <w:pPr>
              <w:spacing w:line="440" w:lineRule="exact"/>
            </w:pPr>
            <w:r>
              <w:t>15</w:t>
            </w:r>
          </w:p>
        </w:tc>
        <w:tc>
          <w:tcPr>
            <w:tcW w:w="1435" w:type="dxa"/>
            <w:vMerge w:val="restart"/>
            <w:shd w:val="clear" w:color="auto" w:fill="auto"/>
            <w:tcMar>
              <w:top w:w="15" w:type="dxa"/>
              <w:left w:w="15" w:type="dxa"/>
              <w:right w:w="15" w:type="dxa"/>
            </w:tcMar>
            <w:vAlign w:val="center"/>
          </w:tcPr>
          <w:p>
            <w:pPr>
              <w:spacing w:line="440" w:lineRule="exact"/>
            </w:pPr>
            <w:r>
              <w:t>液压搬用车</w:t>
            </w:r>
          </w:p>
        </w:tc>
        <w:tc>
          <w:tcPr>
            <w:tcW w:w="823" w:type="dxa"/>
            <w:vMerge w:val="restart"/>
            <w:shd w:val="clear" w:color="auto" w:fill="auto"/>
            <w:tcMar>
              <w:top w:w="15" w:type="dxa"/>
              <w:left w:w="15" w:type="dxa"/>
              <w:right w:w="15" w:type="dxa"/>
            </w:tcMar>
            <w:vAlign w:val="center"/>
          </w:tcPr>
          <w:p>
            <w:pPr>
              <w:spacing w:line="440" w:lineRule="exact"/>
            </w:pPr>
            <w:r>
              <w:t>1</w:t>
            </w:r>
          </w:p>
        </w:tc>
        <w:tc>
          <w:tcPr>
            <w:tcW w:w="653" w:type="dxa"/>
            <w:vMerge w:val="restart"/>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1.5吨</w:t>
            </w:r>
            <w:r>
              <w:rPr>
                <w:rFonts w:hint="eastAsia"/>
              </w:rPr>
              <w:t>全</w:t>
            </w:r>
            <w:r>
              <w:t>电动托盘搬运车 货叉落地高度85MM 电池24V/85AH</w:t>
            </w:r>
          </w:p>
        </w:tc>
        <w:tc>
          <w:tcPr>
            <w:tcW w:w="2694" w:type="dxa"/>
            <w:shd w:val="clear" w:color="auto" w:fill="auto"/>
            <w:tcMar>
              <w:top w:w="15" w:type="dxa"/>
              <w:left w:w="15" w:type="dxa"/>
              <w:right w:w="15" w:type="dxa"/>
            </w:tcMar>
            <w:vAlign w:val="center"/>
          </w:tcPr>
          <w:p>
            <w:pPr>
              <w:spacing w:line="440" w:lineRule="exact"/>
            </w:pPr>
            <w:r>
              <w:t>1.5吨</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rPr>
        <w:tc>
          <w:tcPr>
            <w:tcW w:w="758" w:type="dxa"/>
            <w:vMerge w:val="continue"/>
            <w:shd w:val="clear" w:color="auto" w:fill="auto"/>
            <w:tcMar>
              <w:top w:w="15" w:type="dxa"/>
              <w:left w:w="15" w:type="dxa"/>
              <w:right w:w="15" w:type="dxa"/>
            </w:tcMar>
            <w:vAlign w:val="center"/>
          </w:tcPr>
          <w:p>
            <w:pPr>
              <w:spacing w:line="440" w:lineRule="exact"/>
            </w:pPr>
          </w:p>
        </w:tc>
        <w:tc>
          <w:tcPr>
            <w:tcW w:w="1435" w:type="dxa"/>
            <w:vMerge w:val="continue"/>
            <w:shd w:val="clear" w:color="auto" w:fill="auto"/>
            <w:tcMar>
              <w:top w:w="15" w:type="dxa"/>
              <w:left w:w="15" w:type="dxa"/>
              <w:right w:w="15" w:type="dxa"/>
            </w:tcMar>
            <w:vAlign w:val="center"/>
          </w:tcPr>
          <w:p>
            <w:pPr>
              <w:spacing w:line="440" w:lineRule="exact"/>
            </w:pPr>
          </w:p>
        </w:tc>
        <w:tc>
          <w:tcPr>
            <w:tcW w:w="823" w:type="dxa"/>
            <w:vMerge w:val="continue"/>
            <w:shd w:val="clear" w:color="auto" w:fill="auto"/>
            <w:tcMar>
              <w:top w:w="15" w:type="dxa"/>
              <w:left w:w="15" w:type="dxa"/>
              <w:right w:w="15" w:type="dxa"/>
            </w:tcMar>
            <w:vAlign w:val="center"/>
          </w:tcPr>
          <w:p>
            <w:pPr>
              <w:spacing w:line="440" w:lineRule="exact"/>
            </w:pPr>
          </w:p>
        </w:tc>
        <w:tc>
          <w:tcPr>
            <w:tcW w:w="653" w:type="dxa"/>
            <w:vMerge w:val="continue"/>
            <w:shd w:val="clear" w:color="auto" w:fill="auto"/>
            <w:tcMar>
              <w:top w:w="15" w:type="dxa"/>
              <w:left w:w="15" w:type="dxa"/>
              <w:right w:w="15" w:type="dxa"/>
            </w:tcMar>
            <w:vAlign w:val="center"/>
          </w:tcPr>
          <w:p>
            <w:pPr>
              <w:spacing w:line="440" w:lineRule="exact"/>
            </w:pPr>
          </w:p>
        </w:tc>
        <w:tc>
          <w:tcPr>
            <w:tcW w:w="3717" w:type="dxa"/>
            <w:shd w:val="clear" w:color="auto" w:fill="auto"/>
            <w:tcMar>
              <w:top w:w="15" w:type="dxa"/>
              <w:left w:w="15" w:type="dxa"/>
              <w:right w:w="15" w:type="dxa"/>
            </w:tcMar>
            <w:vAlign w:val="center"/>
          </w:tcPr>
          <w:p>
            <w:pPr>
              <w:spacing w:line="440" w:lineRule="exact"/>
            </w:pPr>
            <w:r>
              <w:t>内置充电机 全车聚氨脂胎 机械转向 驱动无极调速 安全静音</w:t>
            </w:r>
          </w:p>
        </w:tc>
        <w:tc>
          <w:tcPr>
            <w:tcW w:w="2694" w:type="dxa"/>
            <w:shd w:val="clear" w:color="auto" w:fill="auto"/>
            <w:tcMar>
              <w:top w:w="15" w:type="dxa"/>
              <w:left w:w="15" w:type="dxa"/>
              <w:right w:w="15" w:type="dxa"/>
            </w:tcMar>
            <w:vAlign w:val="center"/>
          </w:tcPr>
          <w:p>
            <w:pPr>
              <w:spacing w:line="440" w:lineRule="exact"/>
            </w:pPr>
            <w:r>
              <w:t>特种设备证号：TS2510341-2020</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758" w:type="dxa"/>
            <w:vMerge w:val="continue"/>
            <w:shd w:val="clear" w:color="auto" w:fill="auto"/>
            <w:tcMar>
              <w:top w:w="15" w:type="dxa"/>
              <w:left w:w="15" w:type="dxa"/>
              <w:right w:w="15" w:type="dxa"/>
            </w:tcMar>
            <w:vAlign w:val="center"/>
          </w:tcPr>
          <w:p>
            <w:pPr>
              <w:spacing w:line="440" w:lineRule="exact"/>
            </w:pPr>
          </w:p>
        </w:tc>
        <w:tc>
          <w:tcPr>
            <w:tcW w:w="1435" w:type="dxa"/>
            <w:vMerge w:val="continue"/>
            <w:shd w:val="clear" w:color="auto" w:fill="auto"/>
            <w:tcMar>
              <w:top w:w="15" w:type="dxa"/>
              <w:left w:w="15" w:type="dxa"/>
              <w:right w:w="15" w:type="dxa"/>
            </w:tcMar>
            <w:vAlign w:val="center"/>
          </w:tcPr>
          <w:p>
            <w:pPr>
              <w:spacing w:line="440" w:lineRule="exact"/>
            </w:pPr>
          </w:p>
        </w:tc>
        <w:tc>
          <w:tcPr>
            <w:tcW w:w="823" w:type="dxa"/>
            <w:vMerge w:val="continue"/>
            <w:shd w:val="clear" w:color="auto" w:fill="auto"/>
            <w:tcMar>
              <w:top w:w="15" w:type="dxa"/>
              <w:left w:w="15" w:type="dxa"/>
              <w:right w:w="15" w:type="dxa"/>
            </w:tcMar>
            <w:vAlign w:val="center"/>
          </w:tcPr>
          <w:p>
            <w:pPr>
              <w:spacing w:line="440" w:lineRule="exact"/>
            </w:pPr>
          </w:p>
        </w:tc>
        <w:tc>
          <w:tcPr>
            <w:tcW w:w="653" w:type="dxa"/>
            <w:vMerge w:val="continue"/>
            <w:shd w:val="clear" w:color="auto" w:fill="auto"/>
            <w:tcMar>
              <w:top w:w="15" w:type="dxa"/>
              <w:left w:w="15" w:type="dxa"/>
              <w:right w:w="15" w:type="dxa"/>
            </w:tcMar>
            <w:vAlign w:val="center"/>
          </w:tcPr>
          <w:p>
            <w:pPr>
              <w:spacing w:line="440" w:lineRule="exact"/>
            </w:pPr>
          </w:p>
        </w:tc>
        <w:tc>
          <w:tcPr>
            <w:tcW w:w="3717" w:type="dxa"/>
            <w:shd w:val="clear" w:color="auto" w:fill="auto"/>
            <w:tcMar>
              <w:top w:w="15" w:type="dxa"/>
              <w:left w:w="15" w:type="dxa"/>
              <w:right w:w="15" w:type="dxa"/>
            </w:tcMar>
            <w:vAlign w:val="center"/>
          </w:tcPr>
          <w:p>
            <w:pPr>
              <w:spacing w:line="440" w:lineRule="exact"/>
            </w:pPr>
            <w:r>
              <w:t>货叉外侧间距两种规格可选：550/1200MM对应货叉长度1150/1200MM</w:t>
            </w:r>
          </w:p>
        </w:tc>
        <w:tc>
          <w:tcPr>
            <w:tcW w:w="2694" w:type="dxa"/>
            <w:shd w:val="clear" w:color="auto" w:fill="auto"/>
            <w:tcMar>
              <w:top w:w="15" w:type="dxa"/>
              <w:left w:w="15" w:type="dxa"/>
              <w:right w:w="15" w:type="dxa"/>
            </w:tcMar>
            <w:vAlign w:val="center"/>
          </w:tcPr>
          <w:p>
            <w:pPr>
              <w:spacing w:line="440" w:lineRule="exact"/>
            </w:pPr>
            <w:r>
              <w:rPr>
                <w:rFonts w:hint="eastAsia"/>
              </w:rPr>
              <w:t>推荐品牌：合力、中力、诺力</w:t>
            </w:r>
          </w:p>
        </w:tc>
        <w:tc>
          <w:tcPr>
            <w:tcW w:w="1134" w:type="dxa"/>
          </w:tcPr>
          <w:p>
            <w:pPr>
              <w:spacing w:line="440" w:lineRule="exact"/>
              <w:rPr>
                <w:rFonts w:hint="eastAsia"/>
              </w:rPr>
            </w:pPr>
          </w:p>
        </w:tc>
        <w:tc>
          <w:tcPr>
            <w:tcW w:w="2721" w:type="dxa"/>
          </w:tcPr>
          <w:p>
            <w:pPr>
              <w:spacing w:line="4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5" w:hRule="atLeast"/>
        </w:trPr>
        <w:tc>
          <w:tcPr>
            <w:tcW w:w="758" w:type="dxa"/>
            <w:vMerge w:val="restart"/>
            <w:shd w:val="clear" w:color="auto" w:fill="auto"/>
            <w:tcMar>
              <w:top w:w="15" w:type="dxa"/>
              <w:left w:w="15" w:type="dxa"/>
              <w:right w:w="15" w:type="dxa"/>
            </w:tcMar>
            <w:vAlign w:val="center"/>
          </w:tcPr>
          <w:p>
            <w:pPr>
              <w:spacing w:line="440" w:lineRule="exact"/>
            </w:pPr>
            <w:r>
              <w:t>16</w:t>
            </w:r>
          </w:p>
        </w:tc>
        <w:tc>
          <w:tcPr>
            <w:tcW w:w="1435" w:type="dxa"/>
            <w:vMerge w:val="restart"/>
            <w:shd w:val="clear" w:color="auto" w:fill="auto"/>
            <w:tcMar>
              <w:top w:w="15" w:type="dxa"/>
              <w:left w:w="15" w:type="dxa"/>
              <w:right w:w="15" w:type="dxa"/>
            </w:tcMar>
            <w:vAlign w:val="center"/>
          </w:tcPr>
          <w:p>
            <w:pPr>
              <w:spacing w:line="440" w:lineRule="exact"/>
            </w:pPr>
            <w:r>
              <w:t>托盘搬用车</w:t>
            </w:r>
          </w:p>
        </w:tc>
        <w:tc>
          <w:tcPr>
            <w:tcW w:w="823" w:type="dxa"/>
            <w:vMerge w:val="restart"/>
            <w:shd w:val="clear" w:color="auto" w:fill="auto"/>
            <w:tcMar>
              <w:top w:w="15" w:type="dxa"/>
              <w:left w:w="15" w:type="dxa"/>
              <w:right w:w="15" w:type="dxa"/>
            </w:tcMar>
            <w:vAlign w:val="center"/>
          </w:tcPr>
          <w:p>
            <w:pPr>
              <w:spacing w:line="440" w:lineRule="exact"/>
            </w:pPr>
            <w:r>
              <w:t>1</w:t>
            </w:r>
          </w:p>
        </w:tc>
        <w:tc>
          <w:tcPr>
            <w:tcW w:w="653" w:type="dxa"/>
            <w:vMerge w:val="restart"/>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 xml:space="preserve"> 2吨550型 把手离地125CM 货叉有效长度110CM 货叉齿宽16CM</w:t>
            </w:r>
          </w:p>
        </w:tc>
        <w:tc>
          <w:tcPr>
            <w:tcW w:w="2694" w:type="dxa"/>
            <w:shd w:val="clear" w:color="auto" w:fill="auto"/>
            <w:tcMar>
              <w:top w:w="15" w:type="dxa"/>
              <w:left w:w="15" w:type="dxa"/>
              <w:right w:w="15" w:type="dxa"/>
            </w:tcMar>
            <w:vAlign w:val="center"/>
          </w:tcPr>
          <w:p>
            <w:pPr>
              <w:spacing w:line="440" w:lineRule="exact"/>
            </w:pP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trPr>
        <w:tc>
          <w:tcPr>
            <w:tcW w:w="758" w:type="dxa"/>
            <w:vMerge w:val="continue"/>
            <w:shd w:val="clear" w:color="auto" w:fill="auto"/>
            <w:tcMar>
              <w:top w:w="15" w:type="dxa"/>
              <w:left w:w="15" w:type="dxa"/>
              <w:right w:w="15" w:type="dxa"/>
            </w:tcMar>
            <w:vAlign w:val="center"/>
          </w:tcPr>
          <w:p>
            <w:pPr>
              <w:spacing w:line="440" w:lineRule="exact"/>
            </w:pPr>
          </w:p>
        </w:tc>
        <w:tc>
          <w:tcPr>
            <w:tcW w:w="1435" w:type="dxa"/>
            <w:vMerge w:val="continue"/>
            <w:shd w:val="clear" w:color="auto" w:fill="auto"/>
            <w:tcMar>
              <w:top w:w="15" w:type="dxa"/>
              <w:left w:w="15" w:type="dxa"/>
              <w:right w:w="15" w:type="dxa"/>
            </w:tcMar>
            <w:vAlign w:val="center"/>
          </w:tcPr>
          <w:p>
            <w:pPr>
              <w:spacing w:line="440" w:lineRule="exact"/>
            </w:pPr>
          </w:p>
        </w:tc>
        <w:tc>
          <w:tcPr>
            <w:tcW w:w="823" w:type="dxa"/>
            <w:vMerge w:val="continue"/>
            <w:shd w:val="clear" w:color="auto" w:fill="auto"/>
            <w:tcMar>
              <w:top w:w="15" w:type="dxa"/>
              <w:left w:w="15" w:type="dxa"/>
              <w:right w:w="15" w:type="dxa"/>
            </w:tcMar>
            <w:vAlign w:val="center"/>
          </w:tcPr>
          <w:p>
            <w:pPr>
              <w:spacing w:line="440" w:lineRule="exact"/>
            </w:pPr>
          </w:p>
        </w:tc>
        <w:tc>
          <w:tcPr>
            <w:tcW w:w="653" w:type="dxa"/>
            <w:vMerge w:val="continue"/>
            <w:shd w:val="clear" w:color="auto" w:fill="auto"/>
            <w:tcMar>
              <w:top w:w="15" w:type="dxa"/>
              <w:left w:w="15" w:type="dxa"/>
              <w:right w:w="15" w:type="dxa"/>
            </w:tcMar>
            <w:vAlign w:val="center"/>
          </w:tcPr>
          <w:p>
            <w:pPr>
              <w:spacing w:line="440" w:lineRule="exact"/>
            </w:pPr>
          </w:p>
        </w:tc>
        <w:tc>
          <w:tcPr>
            <w:tcW w:w="3717" w:type="dxa"/>
            <w:shd w:val="clear" w:color="auto" w:fill="auto"/>
            <w:tcMar>
              <w:top w:w="15" w:type="dxa"/>
              <w:left w:w="15" w:type="dxa"/>
              <w:right w:w="15" w:type="dxa"/>
            </w:tcMar>
            <w:vAlign w:val="center"/>
          </w:tcPr>
          <w:p>
            <w:pPr>
              <w:spacing w:line="440" w:lineRule="exact"/>
            </w:pPr>
            <w:r>
              <w:t>货叉内宽23CM 外宽55CM 货叉高度上限20CM下限8.5CM 尼龙轮</w:t>
            </w:r>
          </w:p>
        </w:tc>
        <w:tc>
          <w:tcPr>
            <w:tcW w:w="2694" w:type="dxa"/>
            <w:shd w:val="clear" w:color="auto" w:fill="auto"/>
            <w:tcMar>
              <w:top w:w="15" w:type="dxa"/>
              <w:left w:w="15" w:type="dxa"/>
              <w:right w:w="15" w:type="dxa"/>
            </w:tcMar>
            <w:vAlign w:val="center"/>
          </w:tcPr>
          <w:p>
            <w:pPr>
              <w:spacing w:line="440" w:lineRule="exact"/>
            </w:pP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trPr>
        <w:tc>
          <w:tcPr>
            <w:tcW w:w="758" w:type="dxa"/>
            <w:shd w:val="clear" w:color="auto" w:fill="auto"/>
            <w:tcMar>
              <w:top w:w="15" w:type="dxa"/>
              <w:left w:w="15" w:type="dxa"/>
              <w:right w:w="15" w:type="dxa"/>
            </w:tcMar>
            <w:vAlign w:val="center"/>
          </w:tcPr>
          <w:p>
            <w:pPr>
              <w:spacing w:line="440" w:lineRule="exact"/>
            </w:pPr>
            <w:r>
              <w:t>17</w:t>
            </w:r>
          </w:p>
        </w:tc>
        <w:tc>
          <w:tcPr>
            <w:tcW w:w="1435" w:type="dxa"/>
            <w:shd w:val="clear" w:color="auto" w:fill="auto"/>
            <w:tcMar>
              <w:top w:w="15" w:type="dxa"/>
              <w:left w:w="15" w:type="dxa"/>
              <w:right w:w="15" w:type="dxa"/>
            </w:tcMar>
            <w:vAlign w:val="center"/>
          </w:tcPr>
          <w:p>
            <w:pPr>
              <w:spacing w:line="440" w:lineRule="exact"/>
            </w:pPr>
            <w:r>
              <w:t>挡鼠板</w:t>
            </w:r>
          </w:p>
        </w:tc>
        <w:tc>
          <w:tcPr>
            <w:tcW w:w="823" w:type="dxa"/>
            <w:shd w:val="clear" w:color="auto" w:fill="auto"/>
            <w:tcMar>
              <w:top w:w="15" w:type="dxa"/>
              <w:left w:w="15" w:type="dxa"/>
              <w:right w:w="15" w:type="dxa"/>
            </w:tcMar>
            <w:vAlign w:val="center"/>
          </w:tcPr>
          <w:p>
            <w:pPr>
              <w:spacing w:line="440" w:lineRule="exact"/>
            </w:pPr>
            <w:r>
              <w:t>18</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不锈钢201，高0.5米，厚10mm,嵌入式，17个宽1.48米，1个宽0.98米，每个1对卡槽</w:t>
            </w:r>
          </w:p>
        </w:tc>
        <w:tc>
          <w:tcPr>
            <w:tcW w:w="2694" w:type="dxa"/>
            <w:shd w:val="clear" w:color="auto" w:fill="auto"/>
            <w:tcMar>
              <w:top w:w="15" w:type="dxa"/>
              <w:left w:w="15" w:type="dxa"/>
              <w:right w:w="15" w:type="dxa"/>
            </w:tcMar>
            <w:vAlign w:val="center"/>
          </w:tcPr>
          <w:p>
            <w:pPr>
              <w:spacing w:line="440" w:lineRule="exact"/>
            </w:pPr>
            <w:r>
              <w:t>具体尺寸现场量取，做好后安装到位</w:t>
            </w:r>
          </w:p>
        </w:tc>
        <w:tc>
          <w:tcPr>
            <w:tcW w:w="1134" w:type="dxa"/>
          </w:tcPr>
          <w:p>
            <w:pPr>
              <w:spacing w:line="440" w:lineRule="exact"/>
            </w:pPr>
          </w:p>
        </w:tc>
        <w:tc>
          <w:tcPr>
            <w:tcW w:w="2721" w:type="dxa"/>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758" w:type="dxa"/>
            <w:shd w:val="clear" w:color="auto" w:fill="auto"/>
            <w:tcMar>
              <w:top w:w="15" w:type="dxa"/>
              <w:left w:w="15" w:type="dxa"/>
              <w:right w:w="15" w:type="dxa"/>
            </w:tcMar>
            <w:vAlign w:val="center"/>
          </w:tcPr>
          <w:p>
            <w:pPr>
              <w:spacing w:line="440" w:lineRule="exact"/>
            </w:pPr>
            <w:r>
              <w:t>18</w:t>
            </w:r>
          </w:p>
        </w:tc>
        <w:tc>
          <w:tcPr>
            <w:tcW w:w="1435" w:type="dxa"/>
            <w:shd w:val="clear" w:color="auto" w:fill="auto"/>
            <w:tcMar>
              <w:top w:w="15" w:type="dxa"/>
              <w:left w:w="15" w:type="dxa"/>
              <w:right w:w="15" w:type="dxa"/>
            </w:tcMar>
            <w:vAlign w:val="center"/>
          </w:tcPr>
          <w:p>
            <w:pPr>
              <w:spacing w:line="440" w:lineRule="exact"/>
            </w:pPr>
            <w:r>
              <w:t>平板推车</w:t>
            </w:r>
          </w:p>
        </w:tc>
        <w:tc>
          <w:tcPr>
            <w:tcW w:w="823" w:type="dxa"/>
            <w:shd w:val="clear" w:color="auto" w:fill="auto"/>
            <w:tcMar>
              <w:top w:w="15" w:type="dxa"/>
              <w:left w:w="15" w:type="dxa"/>
              <w:right w:w="15" w:type="dxa"/>
            </w:tcMar>
            <w:vAlign w:val="center"/>
          </w:tcPr>
          <w:p>
            <w:pPr>
              <w:spacing w:line="440" w:lineRule="exact"/>
            </w:pPr>
            <w:r>
              <w:t>4</w:t>
            </w:r>
          </w:p>
        </w:tc>
        <w:tc>
          <w:tcPr>
            <w:tcW w:w="653" w:type="dxa"/>
            <w:shd w:val="clear" w:color="auto" w:fill="auto"/>
            <w:tcMar>
              <w:top w:w="15" w:type="dxa"/>
              <w:left w:w="15" w:type="dxa"/>
              <w:right w:w="15" w:type="dxa"/>
            </w:tcMar>
            <w:vAlign w:val="center"/>
          </w:tcPr>
          <w:p>
            <w:pPr>
              <w:spacing w:line="440" w:lineRule="exact"/>
            </w:pPr>
            <w:r>
              <w:t>个</w:t>
            </w:r>
          </w:p>
        </w:tc>
        <w:tc>
          <w:tcPr>
            <w:tcW w:w="3717" w:type="dxa"/>
            <w:shd w:val="clear" w:color="auto" w:fill="auto"/>
            <w:tcMar>
              <w:top w:w="15" w:type="dxa"/>
              <w:left w:w="15" w:type="dxa"/>
              <w:right w:w="15" w:type="dxa"/>
            </w:tcMar>
            <w:vAlign w:val="center"/>
          </w:tcPr>
          <w:p>
            <w:pPr>
              <w:spacing w:line="440" w:lineRule="exact"/>
            </w:pPr>
            <w:r>
              <w:t>60*90CM左右，承重300公斤，可折叠扶手</w:t>
            </w:r>
          </w:p>
        </w:tc>
        <w:tc>
          <w:tcPr>
            <w:tcW w:w="2694" w:type="dxa"/>
            <w:shd w:val="clear" w:color="auto" w:fill="auto"/>
            <w:tcMar>
              <w:top w:w="15" w:type="dxa"/>
              <w:left w:w="15" w:type="dxa"/>
              <w:right w:w="15" w:type="dxa"/>
            </w:tcMar>
            <w:vAlign w:val="center"/>
          </w:tcPr>
          <w:p>
            <w:pPr>
              <w:spacing w:line="440" w:lineRule="exact"/>
            </w:pPr>
          </w:p>
        </w:tc>
        <w:tc>
          <w:tcPr>
            <w:tcW w:w="1134" w:type="dxa"/>
          </w:tcPr>
          <w:p>
            <w:pPr>
              <w:spacing w:line="440" w:lineRule="exact"/>
            </w:pPr>
          </w:p>
        </w:tc>
        <w:tc>
          <w:tcPr>
            <w:tcW w:w="2721" w:type="dxa"/>
          </w:tcPr>
          <w:p>
            <w:pPr>
              <w:spacing w:line="440" w:lineRule="exact"/>
            </w:pPr>
          </w:p>
        </w:tc>
      </w:tr>
    </w:tbl>
    <w:p>
      <w:pPr>
        <w:spacing w:line="440" w:lineRule="exact"/>
        <w:rPr>
          <w:rFonts w:hint="eastAsia"/>
        </w:rPr>
      </w:pPr>
    </w:p>
    <w:p>
      <w:pPr>
        <w:spacing w:line="440" w:lineRule="exact"/>
        <w:rPr>
          <w:rFonts w:ascii="方正楷体_GBK" w:hAnsi="宋体" w:eastAsia="方正楷体_GBK"/>
          <w:sz w:val="24"/>
          <w:szCs w:val="24"/>
        </w:rPr>
      </w:pPr>
      <w:r>
        <w:rPr>
          <w:rFonts w:hint="eastAsia" w:ascii="方正楷体_GBK" w:hAnsi="宋体" w:eastAsia="方正楷体_GBK"/>
          <w:sz w:val="24"/>
          <w:szCs w:val="24"/>
        </w:rPr>
        <w:t>注：1、按照基本技术要求详细填列。</w:t>
      </w:r>
    </w:p>
    <w:p>
      <w:pPr>
        <w:spacing w:line="440" w:lineRule="exact"/>
        <w:ind w:firstLine="480" w:firstLineChars="200"/>
        <w:rPr>
          <w:rFonts w:ascii="方正楷体_GBK" w:hAnsi="宋体" w:eastAsia="方正楷体_GBK"/>
          <w:sz w:val="24"/>
          <w:szCs w:val="24"/>
        </w:rPr>
      </w:pPr>
      <w:r>
        <w:rPr>
          <w:rFonts w:hint="eastAsia" w:ascii="方正楷体_GBK" w:hAnsi="宋体" w:eastAsia="方正楷体_GBK"/>
          <w:sz w:val="24"/>
          <w:szCs w:val="24"/>
        </w:rPr>
        <w:t>2、行数不够，可自行添加。</w:t>
      </w:r>
    </w:p>
    <w:p>
      <w:pPr>
        <w:spacing w:line="566" w:lineRule="exact"/>
        <w:rPr>
          <w:rFonts w:ascii="Times New Roman" w:hAnsi="Times New Roman" w:eastAsia="方正仿宋_GBK"/>
          <w:bCs/>
          <w:sz w:val="32"/>
          <w:szCs w:val="32"/>
        </w:rPr>
      </w:pPr>
    </w:p>
    <w:p>
      <w:pPr>
        <w:spacing w:line="566" w:lineRule="exact"/>
        <w:jc w:val="left"/>
        <w:rPr>
          <w:rFonts w:ascii="宋体" w:hAnsi="宋体"/>
          <w:b/>
          <w:sz w:val="32"/>
          <w:szCs w:val="32"/>
        </w:rPr>
      </w:pPr>
    </w:p>
    <w:p>
      <w:pPr>
        <w:widowControl/>
        <w:jc w:val="left"/>
        <w:rPr>
          <w:rFonts w:ascii="宋体" w:hAnsi="宋体" w:cs="宋体"/>
          <w:sz w:val="36"/>
          <w:szCs w:val="36"/>
        </w:rPr>
        <w:sectPr>
          <w:pgSz w:w="16838" w:h="11905" w:orient="landscape"/>
          <w:pgMar w:top="1803" w:right="1440" w:bottom="1803" w:left="1440" w:header="850" w:footer="992" w:gutter="0"/>
          <w:cols w:space="0" w:num="1"/>
          <w:docGrid w:type="lines" w:linePitch="317" w:charSpace="0"/>
        </w:sectPr>
      </w:pPr>
      <w:r>
        <w:rPr>
          <w:rFonts w:ascii="宋体" w:hAnsi="宋体" w:cs="宋体"/>
          <w:sz w:val="36"/>
          <w:szCs w:val="36"/>
        </w:rPr>
        <w:br w:type="page"/>
      </w:r>
    </w:p>
    <w:p>
      <w:pPr>
        <w:jc w:val="center"/>
        <w:rPr>
          <w:rFonts w:ascii="宋体" w:hAnsi="宋体" w:cs="宋体"/>
          <w:sz w:val="36"/>
          <w:szCs w:val="36"/>
        </w:rPr>
      </w:pPr>
      <w:r>
        <w:rPr>
          <w:rFonts w:hint="eastAsia" w:ascii="宋体" w:hAnsi="宋体" w:cs="宋体"/>
          <w:sz w:val="36"/>
          <w:szCs w:val="36"/>
        </w:rPr>
        <w:t>4.供货一览表</w:t>
      </w:r>
    </w:p>
    <w:p>
      <w:pPr>
        <w:spacing w:line="566" w:lineRule="exact"/>
        <w:rPr>
          <w:rFonts w:ascii="宋体" w:hAnsi="宋体"/>
          <w:sz w:val="24"/>
          <w:szCs w:val="24"/>
        </w:rPr>
      </w:pPr>
    </w:p>
    <w:p>
      <w:pPr>
        <w:spacing w:line="566" w:lineRule="exact"/>
        <w:rPr>
          <w:rFonts w:ascii="方正仿宋_GBK" w:hAnsi="宋体" w:eastAsia="方正仿宋_GBK"/>
          <w:sz w:val="24"/>
          <w:szCs w:val="24"/>
        </w:rPr>
      </w:pPr>
      <w:r>
        <w:rPr>
          <w:rFonts w:hint="eastAsia" w:ascii="方正仿宋_GBK" w:hAnsi="宋体" w:eastAsia="方正仿宋_GBK"/>
          <w:sz w:val="24"/>
          <w:szCs w:val="24"/>
        </w:rPr>
        <w:t>投标人全称（加盖公章）：</w:t>
      </w:r>
    </w:p>
    <w:tbl>
      <w:tblPr>
        <w:tblStyle w:val="3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方正仿宋_GBK" w:hAnsi="宋体" w:eastAsia="方正仿宋_GBK"/>
                <w:sz w:val="24"/>
                <w:szCs w:val="24"/>
              </w:rPr>
            </w:pPr>
            <w:r>
              <w:rPr>
                <w:rFonts w:hint="eastAsia" w:ascii="方正仿宋_GBK" w:hAnsi="宋体" w:eastAsia="方正仿宋_GBK"/>
                <w:sz w:val="24"/>
                <w:szCs w:val="24"/>
              </w:rPr>
              <w:t>货物、服务名称</w:t>
            </w:r>
          </w:p>
        </w:tc>
        <w:tc>
          <w:tcPr>
            <w:tcW w:w="1934" w:type="dxa"/>
            <w:vAlign w:val="center"/>
          </w:tcPr>
          <w:p>
            <w:pPr>
              <w:jc w:val="center"/>
              <w:rPr>
                <w:rFonts w:ascii="方正仿宋_GBK" w:hAnsi="宋体" w:eastAsia="方正仿宋_GBK"/>
                <w:sz w:val="24"/>
                <w:szCs w:val="24"/>
              </w:rPr>
            </w:pPr>
            <w:r>
              <w:rPr>
                <w:rFonts w:hint="eastAsia" w:ascii="方正仿宋_GBK" w:hAnsi="宋体" w:eastAsia="方正仿宋_GBK"/>
                <w:sz w:val="24"/>
                <w:szCs w:val="24"/>
              </w:rPr>
              <w:t>型    号</w:t>
            </w:r>
          </w:p>
        </w:tc>
        <w:tc>
          <w:tcPr>
            <w:tcW w:w="1575" w:type="dxa"/>
            <w:vAlign w:val="center"/>
          </w:tcPr>
          <w:p>
            <w:pPr>
              <w:jc w:val="center"/>
              <w:rPr>
                <w:rFonts w:ascii="方正仿宋_GBK" w:hAnsi="宋体" w:eastAsia="方正仿宋_GBK"/>
                <w:sz w:val="24"/>
                <w:szCs w:val="24"/>
              </w:rPr>
            </w:pPr>
            <w:r>
              <w:rPr>
                <w:rFonts w:hint="eastAsia" w:ascii="方正仿宋_GBK" w:hAnsi="宋体" w:eastAsia="方正仿宋_GBK"/>
                <w:sz w:val="24"/>
                <w:szCs w:val="24"/>
              </w:rPr>
              <w:t>产地</w:t>
            </w:r>
          </w:p>
        </w:tc>
        <w:tc>
          <w:tcPr>
            <w:tcW w:w="1680" w:type="dxa"/>
            <w:vAlign w:val="center"/>
          </w:tcPr>
          <w:p>
            <w:pPr>
              <w:jc w:val="center"/>
              <w:rPr>
                <w:rFonts w:ascii="方正仿宋_GBK" w:hAnsi="宋体" w:eastAsia="方正仿宋_GBK"/>
                <w:sz w:val="24"/>
                <w:szCs w:val="24"/>
              </w:rPr>
            </w:pPr>
            <w:r>
              <w:rPr>
                <w:rFonts w:hint="eastAsia" w:ascii="方正仿宋_GBK" w:hAnsi="宋体" w:eastAsia="方正仿宋_GBK"/>
                <w:sz w:val="24"/>
                <w:szCs w:val="24"/>
              </w:rPr>
              <w:t>数量</w:t>
            </w:r>
          </w:p>
        </w:tc>
        <w:tc>
          <w:tcPr>
            <w:tcW w:w="1365" w:type="dxa"/>
            <w:vAlign w:val="center"/>
          </w:tcPr>
          <w:p>
            <w:pPr>
              <w:jc w:val="center"/>
              <w:rPr>
                <w:rFonts w:ascii="方正仿宋_GBK" w:hAnsi="宋体" w:eastAsia="方正仿宋_GBK"/>
                <w:sz w:val="24"/>
                <w:szCs w:val="24"/>
              </w:rPr>
            </w:pPr>
            <w:r>
              <w:rPr>
                <w:rFonts w:hint="eastAsia" w:ascii="方正仿宋_GBK" w:hAnsi="宋体" w:eastAsia="方正仿宋_GBK"/>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宋体" w:hAnsi="宋体"/>
                <w:sz w:val="24"/>
                <w:szCs w:val="24"/>
              </w:rPr>
            </w:pPr>
          </w:p>
        </w:tc>
        <w:tc>
          <w:tcPr>
            <w:tcW w:w="1934" w:type="dxa"/>
          </w:tcPr>
          <w:p>
            <w:pPr>
              <w:rPr>
                <w:rFonts w:ascii="宋体" w:hAnsi="宋体"/>
                <w:sz w:val="24"/>
                <w:szCs w:val="24"/>
              </w:rPr>
            </w:pPr>
          </w:p>
        </w:tc>
        <w:tc>
          <w:tcPr>
            <w:tcW w:w="1575" w:type="dxa"/>
          </w:tcPr>
          <w:p>
            <w:pPr>
              <w:rPr>
                <w:rFonts w:ascii="宋体" w:hAnsi="宋体"/>
                <w:sz w:val="24"/>
                <w:szCs w:val="24"/>
              </w:rPr>
            </w:pPr>
          </w:p>
        </w:tc>
        <w:tc>
          <w:tcPr>
            <w:tcW w:w="1680" w:type="dxa"/>
          </w:tcPr>
          <w:p>
            <w:pPr>
              <w:jc w:val="center"/>
              <w:rPr>
                <w:rFonts w:ascii="宋体" w:hAnsi="宋体"/>
                <w:sz w:val="24"/>
                <w:szCs w:val="24"/>
              </w:rPr>
            </w:pPr>
          </w:p>
        </w:tc>
        <w:tc>
          <w:tcPr>
            <w:tcW w:w="1365"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宋体" w:hAnsi="宋体"/>
                <w:sz w:val="24"/>
                <w:szCs w:val="24"/>
              </w:rPr>
            </w:pPr>
          </w:p>
        </w:tc>
        <w:tc>
          <w:tcPr>
            <w:tcW w:w="1934" w:type="dxa"/>
          </w:tcPr>
          <w:p>
            <w:pPr>
              <w:rPr>
                <w:rFonts w:ascii="宋体" w:hAnsi="宋体"/>
                <w:sz w:val="24"/>
                <w:szCs w:val="24"/>
              </w:rPr>
            </w:pPr>
          </w:p>
        </w:tc>
        <w:tc>
          <w:tcPr>
            <w:tcW w:w="1575" w:type="dxa"/>
          </w:tcPr>
          <w:p>
            <w:pPr>
              <w:rPr>
                <w:rFonts w:ascii="宋体" w:hAnsi="宋体"/>
                <w:sz w:val="24"/>
                <w:szCs w:val="24"/>
              </w:rPr>
            </w:pPr>
          </w:p>
        </w:tc>
        <w:tc>
          <w:tcPr>
            <w:tcW w:w="1680" w:type="dxa"/>
          </w:tcPr>
          <w:p>
            <w:pPr>
              <w:jc w:val="center"/>
              <w:rPr>
                <w:rFonts w:ascii="宋体" w:hAnsi="宋体"/>
                <w:sz w:val="24"/>
                <w:szCs w:val="24"/>
              </w:rPr>
            </w:pPr>
          </w:p>
        </w:tc>
        <w:tc>
          <w:tcPr>
            <w:tcW w:w="1365"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宋体" w:hAnsi="宋体"/>
                <w:sz w:val="24"/>
                <w:szCs w:val="24"/>
              </w:rPr>
            </w:pPr>
          </w:p>
        </w:tc>
        <w:tc>
          <w:tcPr>
            <w:tcW w:w="1934" w:type="dxa"/>
          </w:tcPr>
          <w:p>
            <w:pPr>
              <w:rPr>
                <w:rFonts w:ascii="宋体" w:hAnsi="宋体"/>
                <w:sz w:val="24"/>
                <w:szCs w:val="24"/>
              </w:rPr>
            </w:pPr>
          </w:p>
        </w:tc>
        <w:tc>
          <w:tcPr>
            <w:tcW w:w="1575" w:type="dxa"/>
          </w:tcPr>
          <w:p>
            <w:pPr>
              <w:rPr>
                <w:rFonts w:ascii="宋体" w:hAnsi="宋体"/>
                <w:sz w:val="24"/>
                <w:szCs w:val="24"/>
              </w:rPr>
            </w:pPr>
          </w:p>
        </w:tc>
        <w:tc>
          <w:tcPr>
            <w:tcW w:w="1680" w:type="dxa"/>
          </w:tcPr>
          <w:p>
            <w:pPr>
              <w:jc w:val="center"/>
              <w:rPr>
                <w:rFonts w:ascii="宋体" w:hAnsi="宋体"/>
                <w:sz w:val="24"/>
                <w:szCs w:val="24"/>
              </w:rPr>
            </w:pPr>
          </w:p>
        </w:tc>
        <w:tc>
          <w:tcPr>
            <w:tcW w:w="1365"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宋体" w:hAnsi="宋体"/>
                <w:sz w:val="24"/>
                <w:szCs w:val="24"/>
              </w:rPr>
            </w:pPr>
          </w:p>
        </w:tc>
        <w:tc>
          <w:tcPr>
            <w:tcW w:w="1934" w:type="dxa"/>
          </w:tcPr>
          <w:p>
            <w:pPr>
              <w:rPr>
                <w:rFonts w:ascii="宋体" w:hAnsi="宋体"/>
                <w:sz w:val="24"/>
                <w:szCs w:val="24"/>
              </w:rPr>
            </w:pPr>
          </w:p>
        </w:tc>
        <w:tc>
          <w:tcPr>
            <w:tcW w:w="1575" w:type="dxa"/>
          </w:tcPr>
          <w:p>
            <w:pPr>
              <w:rPr>
                <w:rFonts w:ascii="宋体" w:hAnsi="宋体"/>
                <w:sz w:val="24"/>
                <w:szCs w:val="24"/>
              </w:rPr>
            </w:pPr>
          </w:p>
        </w:tc>
        <w:tc>
          <w:tcPr>
            <w:tcW w:w="1680" w:type="dxa"/>
          </w:tcPr>
          <w:p>
            <w:pPr>
              <w:jc w:val="center"/>
              <w:rPr>
                <w:rFonts w:ascii="宋体" w:hAnsi="宋体"/>
                <w:sz w:val="24"/>
                <w:szCs w:val="24"/>
              </w:rPr>
            </w:pPr>
          </w:p>
        </w:tc>
        <w:tc>
          <w:tcPr>
            <w:tcW w:w="1365"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宋体" w:hAnsi="宋体"/>
                <w:sz w:val="24"/>
                <w:szCs w:val="24"/>
              </w:rPr>
            </w:pPr>
          </w:p>
        </w:tc>
        <w:tc>
          <w:tcPr>
            <w:tcW w:w="1934" w:type="dxa"/>
          </w:tcPr>
          <w:p>
            <w:pPr>
              <w:rPr>
                <w:rFonts w:ascii="宋体" w:hAnsi="宋体"/>
                <w:sz w:val="24"/>
                <w:szCs w:val="24"/>
              </w:rPr>
            </w:pPr>
          </w:p>
        </w:tc>
        <w:tc>
          <w:tcPr>
            <w:tcW w:w="1575" w:type="dxa"/>
          </w:tcPr>
          <w:p>
            <w:pPr>
              <w:rPr>
                <w:rFonts w:ascii="宋体" w:hAnsi="宋体"/>
                <w:sz w:val="24"/>
                <w:szCs w:val="24"/>
              </w:rPr>
            </w:pPr>
          </w:p>
        </w:tc>
        <w:tc>
          <w:tcPr>
            <w:tcW w:w="1680" w:type="dxa"/>
          </w:tcPr>
          <w:p>
            <w:pPr>
              <w:jc w:val="center"/>
              <w:rPr>
                <w:rFonts w:ascii="宋体" w:hAnsi="宋体"/>
                <w:sz w:val="24"/>
                <w:szCs w:val="24"/>
              </w:rPr>
            </w:pPr>
          </w:p>
        </w:tc>
        <w:tc>
          <w:tcPr>
            <w:tcW w:w="1365" w:type="dxa"/>
          </w:tcPr>
          <w:p>
            <w:pPr>
              <w:jc w:val="center"/>
              <w:rPr>
                <w:rFonts w:ascii="宋体" w:hAnsi="宋体"/>
                <w:sz w:val="24"/>
                <w:szCs w:val="24"/>
              </w:rPr>
            </w:pPr>
          </w:p>
        </w:tc>
      </w:tr>
    </w:tbl>
    <w:p>
      <w:pPr>
        <w:rPr>
          <w:rFonts w:ascii="宋体" w:hAnsi="宋体"/>
          <w:sz w:val="24"/>
          <w:szCs w:val="24"/>
        </w:rPr>
      </w:pPr>
    </w:p>
    <w:p>
      <w:pPr>
        <w:jc w:val="center"/>
        <w:rPr>
          <w:rFonts w:ascii="宋体" w:hAnsi="宋体"/>
          <w:sz w:val="24"/>
          <w:szCs w:val="24"/>
        </w:rPr>
      </w:pPr>
    </w:p>
    <w:p>
      <w:pPr>
        <w:spacing w:line="440" w:lineRule="exact"/>
        <w:rPr>
          <w:rFonts w:ascii="方正楷体_GBK" w:hAnsi="宋体" w:eastAsia="方正楷体_GBK"/>
          <w:sz w:val="24"/>
          <w:szCs w:val="24"/>
        </w:rPr>
      </w:pPr>
      <w:r>
        <w:rPr>
          <w:rFonts w:hint="eastAsia" w:ascii="方正楷体_GBK" w:hAnsi="宋体" w:eastAsia="方正楷体_GBK"/>
          <w:sz w:val="24"/>
          <w:szCs w:val="24"/>
        </w:rPr>
        <w:t>注：1、按照招标文件要求详细填列。</w:t>
      </w:r>
    </w:p>
    <w:p>
      <w:pPr>
        <w:spacing w:line="440" w:lineRule="exact"/>
        <w:ind w:firstLine="480" w:firstLineChars="200"/>
        <w:rPr>
          <w:rFonts w:ascii="方正楷体_GBK" w:hAnsi="宋体" w:eastAsia="方正楷体_GBK"/>
          <w:sz w:val="24"/>
          <w:szCs w:val="24"/>
        </w:rPr>
      </w:pPr>
      <w:r>
        <w:rPr>
          <w:rFonts w:hint="eastAsia" w:ascii="方正楷体_GBK" w:hAnsi="宋体" w:eastAsia="方正楷体_GBK"/>
          <w:sz w:val="24"/>
          <w:szCs w:val="24"/>
        </w:rPr>
        <w:t>2、行数不够，可自行添加。</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rPr>
          <w:rFonts w:ascii="宋体" w:hAnsi="宋体"/>
          <w:sz w:val="24"/>
          <w:szCs w:val="24"/>
        </w:rPr>
      </w:pPr>
    </w:p>
    <w:p>
      <w:pPr>
        <w:jc w:val="center"/>
        <w:rPr>
          <w:rFonts w:ascii="宋体" w:hAnsi="宋体"/>
          <w:b/>
          <w:sz w:val="32"/>
          <w:szCs w:val="32"/>
        </w:rPr>
      </w:pPr>
      <w:r>
        <w:rPr>
          <w:rFonts w:ascii="宋体" w:hAnsi="宋体"/>
          <w:b/>
          <w:sz w:val="32"/>
          <w:szCs w:val="32"/>
        </w:rPr>
        <w:br w:type="page"/>
      </w:r>
    </w:p>
    <w:p>
      <w:pPr>
        <w:jc w:val="center"/>
        <w:rPr>
          <w:rFonts w:ascii="宋体" w:hAnsi="宋体" w:cs="宋体"/>
          <w:sz w:val="36"/>
          <w:szCs w:val="36"/>
        </w:rPr>
      </w:pPr>
      <w:r>
        <w:rPr>
          <w:rFonts w:hint="eastAsia" w:ascii="宋体" w:hAnsi="宋体" w:cs="宋体"/>
          <w:sz w:val="36"/>
          <w:szCs w:val="36"/>
        </w:rPr>
        <w:t>5.投标响应函</w:t>
      </w:r>
    </w:p>
    <w:p>
      <w:pPr>
        <w:pStyle w:val="74"/>
        <w:spacing w:before="0" w:after="0" w:line="566" w:lineRule="exact"/>
        <w:ind w:firstLine="0"/>
        <w:rPr>
          <w:rFonts w:ascii="宋体" w:hAnsi="宋体" w:cs="宋体"/>
          <w:kern w:val="2"/>
        </w:rPr>
      </w:pPr>
      <w:r>
        <w:rPr>
          <w:rFonts w:hint="eastAsia" w:ascii="宋体" w:hAnsi="宋体" w:cs="宋体"/>
          <w:kern w:val="2"/>
        </w:rPr>
        <w:t>致南通市发展和改革委员会：</w:t>
      </w:r>
    </w:p>
    <w:p>
      <w:pPr>
        <w:pStyle w:val="74"/>
        <w:spacing w:before="0" w:after="0" w:line="566" w:lineRule="exact"/>
        <w:ind w:firstLineChars="200"/>
        <w:rPr>
          <w:rFonts w:ascii="宋体" w:hAnsi="宋体" w:cs="宋体"/>
          <w:kern w:val="2"/>
        </w:rPr>
      </w:pPr>
      <w:r>
        <w:rPr>
          <w:rFonts w:hint="eastAsia" w:ascii="宋体" w:hAnsi="宋体" w:cs="宋体"/>
          <w:kern w:val="2"/>
        </w:rPr>
        <w:t>根据贵方的招标文件，正式授权下述签字人_________(姓名)代表我方______________（投标人的名称），全权处理本次项目投标的有关事宜。</w:t>
      </w:r>
    </w:p>
    <w:p>
      <w:pPr>
        <w:pStyle w:val="74"/>
        <w:spacing w:before="0" w:after="0" w:line="566" w:lineRule="exact"/>
        <w:ind w:firstLineChars="200"/>
        <w:rPr>
          <w:rFonts w:ascii="宋体" w:hAnsi="宋体" w:cs="宋体"/>
          <w:kern w:val="2"/>
        </w:rPr>
      </w:pPr>
      <w:r>
        <w:rPr>
          <w:rFonts w:hint="eastAsia" w:ascii="宋体" w:hAnsi="宋体" w:cs="宋体"/>
          <w:kern w:val="2"/>
        </w:rPr>
        <w:t>据此函，__________签字人兹宣布同意如下：</w:t>
      </w:r>
    </w:p>
    <w:p>
      <w:pPr>
        <w:pStyle w:val="74"/>
        <w:spacing w:before="0" w:after="0" w:line="566" w:lineRule="exact"/>
        <w:ind w:firstLineChars="200"/>
        <w:rPr>
          <w:rFonts w:ascii="宋体" w:hAnsi="宋体" w:cs="宋体"/>
          <w:kern w:val="2"/>
        </w:rPr>
      </w:pPr>
      <w:r>
        <w:rPr>
          <w:rFonts w:hint="eastAsia" w:ascii="宋体" w:hAnsi="宋体" w:cs="宋体"/>
          <w:kern w:val="2"/>
        </w:rPr>
        <w:t>1.按招标文件规定的各项要求，向买方提供所需货物、服务与服务。</w:t>
      </w:r>
    </w:p>
    <w:p>
      <w:pPr>
        <w:pStyle w:val="74"/>
        <w:spacing w:before="0" w:after="0" w:line="566" w:lineRule="exact"/>
        <w:rPr>
          <w:rFonts w:ascii="宋体" w:hAnsi="宋体" w:cs="宋体"/>
          <w:kern w:val="2"/>
        </w:rPr>
      </w:pPr>
      <w:r>
        <w:rPr>
          <w:rFonts w:hint="eastAsia" w:ascii="宋体" w:hAnsi="宋体" w:cs="宋体"/>
          <w:kern w:val="2"/>
        </w:rPr>
        <w:t>2.一旦我方中标,我方将根据招标文件的规定，严格履行合同的责任和义务,并保证在招标文件规定的时间完成项目，交付买方验收、使用。</w:t>
      </w:r>
    </w:p>
    <w:p>
      <w:pPr>
        <w:pStyle w:val="74"/>
        <w:spacing w:before="0" w:after="0" w:line="566"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74"/>
        <w:spacing w:before="0" w:after="0" w:line="566"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4.我们同意从规定的开标日期起遵循本投标文件，并在规定的投标有效期期满之前均具有约束力。</w:t>
      </w:r>
    </w:p>
    <w:p>
      <w:pPr>
        <w:pStyle w:val="74"/>
        <w:spacing w:before="0" w:after="0" w:line="566" w:lineRule="exact"/>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74"/>
        <w:spacing w:before="0" w:after="0" w:line="566" w:lineRule="exact"/>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74"/>
        <w:spacing w:before="0" w:after="0" w:line="566" w:lineRule="exact"/>
        <w:ind w:left="425" w:firstLine="0"/>
        <w:rPr>
          <w:rFonts w:ascii="宋体" w:hAnsi="宋体" w:cs="宋体"/>
          <w:kern w:val="2"/>
        </w:rPr>
      </w:pPr>
      <w:r>
        <w:rPr>
          <w:rFonts w:hint="eastAsia" w:ascii="宋体" w:hAnsi="宋体" w:cs="宋体"/>
          <w:kern w:val="2"/>
        </w:rPr>
        <w:t>7.与本投标有关的正式通讯地址为：</w:t>
      </w:r>
    </w:p>
    <w:p>
      <w:pPr>
        <w:pStyle w:val="74"/>
        <w:spacing w:before="0" w:after="0" w:line="566" w:lineRule="exact"/>
        <w:ind w:left="420" w:leftChars="200" w:firstLineChars="200"/>
        <w:rPr>
          <w:rFonts w:ascii="宋体" w:hAnsi="宋体" w:cs="宋体"/>
          <w:kern w:val="2"/>
        </w:rPr>
      </w:pPr>
      <w:r>
        <w:rPr>
          <w:rFonts w:hint="eastAsia" w:ascii="宋体" w:hAnsi="宋体" w:cs="宋体"/>
          <w:kern w:val="2"/>
        </w:rPr>
        <w:t>地址：           邮编：           电话：</w:t>
      </w:r>
    </w:p>
    <w:p>
      <w:pPr>
        <w:pStyle w:val="74"/>
        <w:spacing w:before="0" w:after="0" w:line="566" w:lineRule="exact"/>
        <w:ind w:left="420" w:leftChars="200" w:firstLineChars="200"/>
        <w:rPr>
          <w:rFonts w:ascii="宋体" w:hAnsi="宋体" w:cs="宋体"/>
          <w:kern w:val="2"/>
        </w:rPr>
      </w:pPr>
      <w:r>
        <w:rPr>
          <w:rFonts w:hint="eastAsia" w:ascii="宋体" w:hAnsi="宋体" w:cs="宋体"/>
          <w:kern w:val="2"/>
        </w:rPr>
        <w:t xml:space="preserve">投标人开户行：           账户： </w:t>
      </w:r>
    </w:p>
    <w:p>
      <w:pPr>
        <w:pStyle w:val="74"/>
        <w:spacing w:before="0" w:after="0" w:line="566" w:lineRule="exact"/>
        <w:ind w:left="420" w:leftChars="200" w:firstLineChars="200"/>
        <w:rPr>
          <w:rFonts w:ascii="宋体" w:hAnsi="宋体" w:cs="宋体"/>
          <w:kern w:val="2"/>
        </w:rPr>
      </w:pPr>
      <w:r>
        <w:rPr>
          <w:rFonts w:hint="eastAsia" w:ascii="宋体" w:hAnsi="宋体" w:cs="宋体"/>
          <w:kern w:val="2"/>
        </w:rPr>
        <w:t xml:space="preserve">投标人授权代表姓名（签字）： </w:t>
      </w:r>
    </w:p>
    <w:p>
      <w:pPr>
        <w:pStyle w:val="74"/>
        <w:spacing w:before="0" w:after="0" w:line="566" w:lineRule="exact"/>
        <w:ind w:left="420" w:leftChars="200" w:firstLineChars="200"/>
        <w:rPr>
          <w:rFonts w:ascii="宋体" w:hAnsi="宋体" w:cs="宋体"/>
          <w:kern w:val="2"/>
        </w:rPr>
      </w:pPr>
      <w:r>
        <w:rPr>
          <w:rFonts w:hint="eastAsia" w:ascii="宋体" w:hAnsi="宋体" w:cs="宋体"/>
          <w:kern w:val="2"/>
        </w:rPr>
        <w:t xml:space="preserve">投标人名称（公章）： </w:t>
      </w:r>
    </w:p>
    <w:p>
      <w:pPr>
        <w:pStyle w:val="74"/>
        <w:spacing w:before="0" w:after="0" w:line="566" w:lineRule="exact"/>
        <w:ind w:left="420" w:leftChars="200" w:firstLineChars="200"/>
        <w:rPr>
          <w:rFonts w:ascii="宋体" w:hAnsi="宋体" w:cs="宋体"/>
          <w:kern w:val="2"/>
        </w:rPr>
      </w:pPr>
      <w:r>
        <w:rPr>
          <w:rFonts w:hint="eastAsia" w:ascii="宋体" w:hAnsi="宋体" w:cs="宋体"/>
          <w:kern w:val="2"/>
        </w:rPr>
        <w:t>日           期：________年____月____日</w:t>
      </w:r>
    </w:p>
    <w:p>
      <w:pPr>
        <w:snapToGrid w:val="0"/>
        <w:spacing w:before="50" w:afterLines="50"/>
        <w:jc w:val="left"/>
        <w:rPr>
          <w:rFonts w:ascii="宋体" w:hAnsi="宋体" w:cs="宋体"/>
          <w:sz w:val="24"/>
          <w:szCs w:val="24"/>
        </w:rPr>
      </w:pPr>
    </w:p>
    <w:p>
      <w:pPr>
        <w:spacing w:line="566" w:lineRule="exact"/>
        <w:jc w:val="center"/>
        <w:rPr>
          <w:rFonts w:ascii="宋体" w:hAnsi="宋体" w:cs="宋体"/>
          <w:b/>
          <w:sz w:val="24"/>
          <w:szCs w:val="24"/>
        </w:rPr>
      </w:pPr>
      <w:r>
        <w:rPr>
          <w:rFonts w:hint="eastAsia" w:ascii="宋体" w:hAnsi="宋体" w:cs="宋体"/>
          <w:b/>
          <w:sz w:val="24"/>
          <w:szCs w:val="24"/>
        </w:rPr>
        <w:br w:type="page"/>
      </w:r>
    </w:p>
    <w:bookmarkEnd w:id="158"/>
    <w:bookmarkEnd w:id="159"/>
    <w:bookmarkEnd w:id="168"/>
    <w:p>
      <w:bookmarkStart w:id="169" w:name="_格式2__法定代表人授权书"/>
      <w:bookmarkEnd w:id="169"/>
      <w:bookmarkStart w:id="170" w:name="_Toc23828478"/>
      <w:bookmarkStart w:id="171" w:name="_Toc49090577"/>
      <w:bookmarkStart w:id="172" w:name="_Toc513029276"/>
      <w:bookmarkStart w:id="173" w:name="_Toc26554095"/>
      <w:bookmarkStart w:id="174" w:name="_Toc460901585"/>
      <w:bookmarkStart w:id="175" w:name="_Toc22356580"/>
      <w:bookmarkStart w:id="176" w:name="_Toc120614283"/>
    </w:p>
    <w:bookmarkEnd w:id="170"/>
    <w:bookmarkEnd w:id="171"/>
    <w:bookmarkEnd w:id="172"/>
    <w:bookmarkEnd w:id="173"/>
    <w:bookmarkEnd w:id="174"/>
    <w:bookmarkEnd w:id="175"/>
    <w:bookmarkEnd w:id="176"/>
    <w:p>
      <w:pPr>
        <w:ind w:firstLine="480"/>
        <w:jc w:val="center"/>
        <w:rPr>
          <w:rFonts w:ascii="华文中宋" w:hAnsi="华文中宋" w:eastAsia="华文中宋"/>
          <w:sz w:val="36"/>
          <w:szCs w:val="36"/>
        </w:rPr>
      </w:pPr>
      <w:r>
        <w:rPr>
          <w:rFonts w:hint="eastAsia" w:ascii="华文中宋" w:hAnsi="华文中宋" w:eastAsia="华文中宋"/>
          <w:sz w:val="36"/>
          <w:szCs w:val="36"/>
        </w:rPr>
        <w:t>6.开标一览表</w:t>
      </w:r>
    </w:p>
    <w:p>
      <w:pPr>
        <w:rPr>
          <w:rFonts w:ascii="方正仿宋_GBK" w:hAnsi="宋体" w:eastAsia="方正仿宋_GBK"/>
          <w:sz w:val="24"/>
          <w:szCs w:val="24"/>
        </w:rPr>
      </w:pPr>
      <w:r>
        <w:rPr>
          <w:rFonts w:hint="eastAsia" w:ascii="方正仿宋_GBK" w:hAnsi="宋体" w:eastAsia="方正仿宋_GBK"/>
          <w:sz w:val="24"/>
          <w:szCs w:val="24"/>
        </w:rPr>
        <w:t>投标人全称（加盖公章）：</w:t>
      </w:r>
    </w:p>
    <w:p>
      <w:pPr>
        <w:rPr>
          <w:rFonts w:hint="eastAsia" w:ascii="方正仿宋_GBK" w:hAnsi="宋体" w:eastAsia="方正仿宋_GBK"/>
          <w:sz w:val="24"/>
          <w:szCs w:val="24"/>
        </w:rPr>
      </w:pPr>
      <w:r>
        <w:rPr>
          <w:rFonts w:hint="eastAsia" w:ascii="方正仿宋_GBK" w:hAnsi="宋体" w:eastAsia="方正仿宋_GBK"/>
          <w:sz w:val="24"/>
          <w:szCs w:val="24"/>
        </w:rPr>
        <w:t>项目名称：南通市2019年度市级救灾应急物资和装备储备采购项目</w:t>
      </w:r>
    </w:p>
    <w:p>
      <w:pPr>
        <w:ind w:firstLine="480"/>
      </w:pPr>
    </w:p>
    <w:tbl>
      <w:tblPr>
        <w:tblStyle w:val="3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vAlign w:val="center"/>
          </w:tcPr>
          <w:p>
            <w:pPr>
              <w:pStyle w:val="12"/>
              <w:adjustRightInd w:val="0"/>
              <w:snapToGrid w:val="0"/>
              <w:spacing w:line="300" w:lineRule="auto"/>
              <w:rPr>
                <w:rFonts w:ascii="方正仿宋_GBK" w:hAnsi="宋体" w:eastAsia="方正仿宋_GBK" w:cs="宋体"/>
                <w:sz w:val="24"/>
                <w:szCs w:val="24"/>
              </w:rPr>
            </w:pPr>
            <w:r>
              <w:rPr>
                <w:rFonts w:hint="eastAsia" w:ascii="方正仿宋_GBK" w:hAnsi="宋体" w:eastAsia="方正仿宋_GBK" w:cs="宋体"/>
                <w:sz w:val="24"/>
                <w:szCs w:val="24"/>
              </w:rPr>
              <w:t>投标项目名称</w:t>
            </w:r>
          </w:p>
        </w:tc>
        <w:tc>
          <w:tcPr>
            <w:tcW w:w="6405" w:type="dxa"/>
            <w:vAlign w:val="center"/>
          </w:tcPr>
          <w:p>
            <w:pPr>
              <w:rPr>
                <w:rFonts w:ascii="方正仿宋_GBK" w:hAnsi="宋体" w:eastAsia="方正仿宋_GBK"/>
                <w:sz w:val="24"/>
                <w:szCs w:val="24"/>
              </w:rPr>
            </w:pPr>
            <w:r>
              <w:rPr>
                <w:rFonts w:hint="eastAsia" w:ascii="方正仿宋_GBK" w:hAnsi="宋体" w:eastAsia="方正仿宋_GBK"/>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vAlign w:val="center"/>
          </w:tcPr>
          <w:p>
            <w:pPr>
              <w:pStyle w:val="12"/>
              <w:adjustRightInd w:val="0"/>
              <w:snapToGrid w:val="0"/>
              <w:spacing w:line="300" w:lineRule="auto"/>
              <w:rPr>
                <w:rFonts w:ascii="方正仿宋_GBK" w:hAnsi="宋体" w:eastAsia="方正仿宋_GBK" w:cs="宋体"/>
                <w:sz w:val="24"/>
                <w:szCs w:val="24"/>
              </w:rPr>
            </w:pPr>
            <w:r>
              <w:rPr>
                <w:rFonts w:hint="eastAsia" w:ascii="方正仿宋_GBK" w:hAnsi="宋体" w:eastAsia="方正仿宋_GBK" w:cs="宋体"/>
                <w:sz w:val="24"/>
                <w:szCs w:val="24"/>
              </w:rPr>
              <w:t>南通市2019年度市级救灾应急物资和装备储备采购项目</w:t>
            </w:r>
          </w:p>
        </w:tc>
        <w:tc>
          <w:tcPr>
            <w:tcW w:w="6405" w:type="dxa"/>
            <w:vAlign w:val="center"/>
          </w:tcPr>
          <w:p>
            <w:pPr>
              <w:pStyle w:val="12"/>
              <w:adjustRightInd w:val="0"/>
              <w:snapToGrid w:val="0"/>
              <w:spacing w:line="300" w:lineRule="auto"/>
              <w:rPr>
                <w:rFonts w:ascii="方正仿宋_GBK" w:hAnsi="宋体" w:eastAsia="方正仿宋_GBK" w:cs="宋体"/>
                <w:sz w:val="24"/>
                <w:szCs w:val="24"/>
              </w:rPr>
            </w:pPr>
            <w:r>
              <w:rPr>
                <w:rFonts w:hint="eastAsia" w:ascii="方正仿宋_GBK" w:hAnsi="宋体" w:eastAsia="方正仿宋_GBK" w:cs="宋体"/>
                <w:sz w:val="24"/>
                <w:szCs w:val="24"/>
              </w:rPr>
              <w:t>大写：</w:t>
            </w:r>
          </w:p>
          <w:p>
            <w:pPr>
              <w:pStyle w:val="74"/>
              <w:spacing w:before="0" w:after="0" w:line="500" w:lineRule="exact"/>
              <w:ind w:firstLine="0"/>
              <w:rPr>
                <w:rFonts w:ascii="方正仿宋_GBK" w:hAnsi="宋体" w:eastAsia="方正仿宋_GBK"/>
                <w:kern w:val="2"/>
                <w:szCs w:val="21"/>
              </w:rPr>
            </w:pPr>
            <w:r>
              <w:rPr>
                <w:rFonts w:hint="eastAsia" w:ascii="方正仿宋_GBK" w:hAnsi="宋体" w:eastAsia="方正仿宋_GBK" w:cs="宋体"/>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vAlign w:val="center"/>
          </w:tcPr>
          <w:p>
            <w:pPr>
              <w:pStyle w:val="12"/>
              <w:adjustRightInd w:val="0"/>
              <w:snapToGrid w:val="0"/>
              <w:spacing w:line="300" w:lineRule="auto"/>
              <w:rPr>
                <w:rFonts w:ascii="方正仿宋_GBK" w:hAnsi="宋体" w:eastAsia="方正仿宋_GBK" w:cs="宋体"/>
                <w:sz w:val="24"/>
                <w:szCs w:val="24"/>
              </w:rPr>
            </w:pPr>
            <w:r>
              <w:rPr>
                <w:rFonts w:hint="eastAsia" w:ascii="方正仿宋_GBK" w:hAnsi="宋体" w:eastAsia="方正仿宋_GBK" w:cs="宋体"/>
                <w:sz w:val="24"/>
                <w:szCs w:val="24"/>
              </w:rPr>
              <w:t>质量及付款方式</w:t>
            </w:r>
          </w:p>
        </w:tc>
        <w:tc>
          <w:tcPr>
            <w:tcW w:w="6405" w:type="dxa"/>
            <w:vAlign w:val="center"/>
          </w:tcPr>
          <w:p>
            <w:pPr>
              <w:pStyle w:val="12"/>
              <w:adjustRightInd w:val="0"/>
              <w:snapToGrid w:val="0"/>
              <w:spacing w:line="300" w:lineRule="auto"/>
              <w:ind w:firstLine="1560" w:firstLineChars="650"/>
              <w:rPr>
                <w:rFonts w:ascii="方正仿宋_GBK" w:hAnsi="宋体" w:eastAsia="方正仿宋_GBK" w:cs="宋体"/>
                <w:sz w:val="24"/>
                <w:szCs w:val="24"/>
              </w:rPr>
            </w:pPr>
            <w:r>
              <w:rPr>
                <w:rFonts w:hint="eastAsia" w:ascii="方正仿宋_GBK" w:hAnsi="宋体" w:eastAsia="方正仿宋_GBK" w:cs="宋体"/>
                <w:sz w:val="24"/>
                <w:szCs w:val="24"/>
              </w:rPr>
              <w:t>按招标文件要求</w:t>
            </w:r>
          </w:p>
        </w:tc>
      </w:tr>
    </w:tbl>
    <w:p>
      <w:pPr>
        <w:rPr>
          <w:rFonts w:ascii="方正仿宋_GBK" w:hAnsi="宋体" w:eastAsia="方正仿宋_GBK"/>
          <w:sz w:val="24"/>
          <w:szCs w:val="24"/>
        </w:rPr>
      </w:pPr>
    </w:p>
    <w:p>
      <w:pPr>
        <w:ind w:firstLine="480"/>
        <w:rPr>
          <w:rFonts w:ascii="方正仿宋_GBK" w:hAnsi="宋体" w:eastAsia="方正仿宋_GBK"/>
          <w:sz w:val="24"/>
          <w:szCs w:val="24"/>
        </w:rPr>
      </w:pPr>
      <w:r>
        <w:rPr>
          <w:rFonts w:hint="eastAsia" w:ascii="方正仿宋_GBK" w:hAnsi="宋体" w:eastAsia="方正仿宋_GBK"/>
          <w:sz w:val="24"/>
          <w:szCs w:val="24"/>
        </w:rPr>
        <w:t xml:space="preserve">                                       日期：  年 月 日</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60" w:lineRule="exact"/>
        <w:rPr>
          <w:rFonts w:ascii="宋体" w:hAnsi="宋体"/>
          <w:bCs/>
          <w:sz w:val="24"/>
        </w:rPr>
      </w:pPr>
    </w:p>
    <w:p>
      <w:pPr>
        <w:spacing w:line="460" w:lineRule="exact"/>
        <w:rPr>
          <w:rFonts w:ascii="宋体" w:hAnsi="宋体"/>
          <w:bCs/>
          <w:sz w:val="24"/>
        </w:rPr>
      </w:pPr>
    </w:p>
    <w:p/>
    <w:p>
      <w:pPr>
        <w:pStyle w:val="5"/>
      </w:pPr>
    </w:p>
    <w:p>
      <w:pPr>
        <w:pStyle w:val="5"/>
        <w:rPr>
          <w:rFonts w:eastAsia="方正黑体_GBK"/>
        </w:rPr>
      </w:pPr>
    </w:p>
    <w:p>
      <w:pPr>
        <w:rPr>
          <w:rFonts w:ascii="华文中宋" w:hAnsi="华文中宋" w:eastAsia="华文中宋"/>
          <w:sz w:val="32"/>
          <w:szCs w:val="32"/>
        </w:rPr>
      </w:pPr>
      <w:r>
        <w:rPr>
          <w:rFonts w:hint="eastAsia" w:ascii="华文中宋" w:hAnsi="华文中宋" w:eastAsia="华文中宋"/>
          <w:sz w:val="32"/>
          <w:szCs w:val="32"/>
        </w:rPr>
        <w:br w:type="page"/>
      </w:r>
    </w:p>
    <w:p>
      <w:pPr>
        <w:jc w:val="center"/>
        <w:rPr>
          <w:rFonts w:ascii="宋体" w:hAnsi="宋体" w:cs="宋体"/>
          <w:sz w:val="36"/>
          <w:szCs w:val="36"/>
        </w:rPr>
      </w:pPr>
      <w:r>
        <w:rPr>
          <w:rFonts w:hint="eastAsia" w:ascii="宋体" w:hAnsi="宋体" w:cs="宋体"/>
          <w:sz w:val="36"/>
          <w:szCs w:val="36"/>
        </w:rPr>
        <w:t>7.分项报价表</w:t>
      </w:r>
    </w:p>
    <w:tbl>
      <w:tblPr>
        <w:tblStyle w:val="37"/>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4"/>
        <w:gridCol w:w="1064"/>
        <w:gridCol w:w="1064"/>
        <w:gridCol w:w="1064"/>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064" w:type="dxa"/>
          </w:tcPr>
          <w:p>
            <w:pPr>
              <w:pStyle w:val="12"/>
            </w:pPr>
            <w:r>
              <w:rPr>
                <w:rFonts w:hint="eastAsia"/>
              </w:rPr>
              <w:t>序号</w:t>
            </w:r>
          </w:p>
          <w:p>
            <w:pPr>
              <w:pStyle w:val="12"/>
            </w:pPr>
          </w:p>
        </w:tc>
        <w:tc>
          <w:tcPr>
            <w:tcW w:w="1064" w:type="dxa"/>
          </w:tcPr>
          <w:p>
            <w:pPr>
              <w:pStyle w:val="12"/>
            </w:pPr>
            <w:r>
              <w:rPr>
                <w:rFonts w:hint="eastAsia"/>
              </w:rPr>
              <w:t>货物名称</w:t>
            </w:r>
          </w:p>
        </w:tc>
        <w:tc>
          <w:tcPr>
            <w:tcW w:w="1064" w:type="dxa"/>
          </w:tcPr>
          <w:p>
            <w:pPr>
              <w:pStyle w:val="12"/>
            </w:pPr>
            <w:r>
              <w:rPr>
                <w:rFonts w:hint="eastAsia"/>
              </w:rPr>
              <w:t>品牌/型号</w:t>
            </w:r>
          </w:p>
        </w:tc>
        <w:tc>
          <w:tcPr>
            <w:tcW w:w="1064" w:type="dxa"/>
          </w:tcPr>
          <w:p>
            <w:pPr>
              <w:pStyle w:val="12"/>
            </w:pPr>
            <w:r>
              <w:rPr>
                <w:rFonts w:hint="eastAsia"/>
              </w:rPr>
              <w:t>单位</w:t>
            </w:r>
          </w:p>
          <w:p>
            <w:pPr>
              <w:pStyle w:val="12"/>
            </w:pPr>
          </w:p>
        </w:tc>
        <w:tc>
          <w:tcPr>
            <w:tcW w:w="1064" w:type="dxa"/>
          </w:tcPr>
          <w:p>
            <w:pPr>
              <w:pStyle w:val="12"/>
            </w:pPr>
            <w:r>
              <w:rPr>
                <w:rFonts w:hint="eastAsia"/>
              </w:rPr>
              <w:t>数量</w:t>
            </w:r>
          </w:p>
          <w:p>
            <w:pPr>
              <w:pStyle w:val="12"/>
            </w:pPr>
          </w:p>
        </w:tc>
        <w:tc>
          <w:tcPr>
            <w:tcW w:w="1065" w:type="dxa"/>
          </w:tcPr>
          <w:p>
            <w:pPr>
              <w:pStyle w:val="12"/>
            </w:pPr>
            <w:r>
              <w:rPr>
                <w:rFonts w:hint="eastAsia"/>
              </w:rPr>
              <w:t>单价</w:t>
            </w:r>
          </w:p>
          <w:p>
            <w:pPr>
              <w:pStyle w:val="12"/>
            </w:pPr>
          </w:p>
        </w:tc>
        <w:tc>
          <w:tcPr>
            <w:tcW w:w="1065" w:type="dxa"/>
          </w:tcPr>
          <w:p>
            <w:pPr>
              <w:pStyle w:val="12"/>
            </w:pPr>
            <w:r>
              <w:rPr>
                <w:rFonts w:hint="eastAsia"/>
              </w:rPr>
              <w:t>小计</w:t>
            </w:r>
          </w:p>
          <w:p>
            <w:pPr>
              <w:pStyle w:val="12"/>
            </w:pPr>
          </w:p>
        </w:tc>
        <w:tc>
          <w:tcPr>
            <w:tcW w:w="1065" w:type="dxa"/>
          </w:tcPr>
          <w:p>
            <w:pPr>
              <w:pStyle w:val="12"/>
            </w:pPr>
            <w:r>
              <w:rPr>
                <w:rFonts w:hint="eastAsia"/>
              </w:rPr>
              <w:t>备注</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pStyle w:val="12"/>
            </w:pPr>
            <w:r>
              <w:rPr>
                <w:rFonts w:hint="eastAsia"/>
              </w:rPr>
              <w:t>1</w:t>
            </w:r>
          </w:p>
        </w:tc>
        <w:tc>
          <w:tcPr>
            <w:tcW w:w="1064" w:type="dxa"/>
          </w:tcPr>
          <w:p>
            <w:pPr>
              <w:pStyle w:val="12"/>
            </w:pPr>
          </w:p>
        </w:tc>
        <w:tc>
          <w:tcPr>
            <w:tcW w:w="1064" w:type="dxa"/>
          </w:tcPr>
          <w:p>
            <w:pPr>
              <w:pStyle w:val="12"/>
            </w:pPr>
          </w:p>
        </w:tc>
        <w:tc>
          <w:tcPr>
            <w:tcW w:w="1064" w:type="dxa"/>
          </w:tcPr>
          <w:p>
            <w:pPr>
              <w:pStyle w:val="12"/>
            </w:pPr>
          </w:p>
        </w:tc>
        <w:tc>
          <w:tcPr>
            <w:tcW w:w="1064" w:type="dxa"/>
          </w:tcPr>
          <w:p>
            <w:pPr>
              <w:pStyle w:val="12"/>
            </w:pPr>
          </w:p>
        </w:tc>
        <w:tc>
          <w:tcPr>
            <w:tcW w:w="1065" w:type="dxa"/>
          </w:tcPr>
          <w:p>
            <w:pPr>
              <w:pStyle w:val="12"/>
            </w:pPr>
          </w:p>
        </w:tc>
        <w:tc>
          <w:tcPr>
            <w:tcW w:w="1065" w:type="dxa"/>
          </w:tcPr>
          <w:p>
            <w:pPr>
              <w:pStyle w:val="12"/>
            </w:pPr>
          </w:p>
        </w:tc>
        <w:tc>
          <w:tcPr>
            <w:tcW w:w="1065"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pStyle w:val="12"/>
            </w:pPr>
            <w:r>
              <w:rPr>
                <w:rFonts w:hint="eastAsia"/>
              </w:rPr>
              <w:t>2</w:t>
            </w:r>
          </w:p>
        </w:tc>
        <w:tc>
          <w:tcPr>
            <w:tcW w:w="1064" w:type="dxa"/>
          </w:tcPr>
          <w:p>
            <w:pPr>
              <w:pStyle w:val="12"/>
            </w:pPr>
          </w:p>
        </w:tc>
        <w:tc>
          <w:tcPr>
            <w:tcW w:w="1064" w:type="dxa"/>
          </w:tcPr>
          <w:p>
            <w:pPr>
              <w:pStyle w:val="12"/>
            </w:pPr>
          </w:p>
        </w:tc>
        <w:tc>
          <w:tcPr>
            <w:tcW w:w="1064" w:type="dxa"/>
          </w:tcPr>
          <w:p>
            <w:pPr>
              <w:pStyle w:val="12"/>
            </w:pPr>
          </w:p>
        </w:tc>
        <w:tc>
          <w:tcPr>
            <w:tcW w:w="1064" w:type="dxa"/>
          </w:tcPr>
          <w:p>
            <w:pPr>
              <w:pStyle w:val="12"/>
            </w:pPr>
          </w:p>
        </w:tc>
        <w:tc>
          <w:tcPr>
            <w:tcW w:w="1065" w:type="dxa"/>
          </w:tcPr>
          <w:p>
            <w:pPr>
              <w:pStyle w:val="12"/>
            </w:pPr>
          </w:p>
        </w:tc>
        <w:tc>
          <w:tcPr>
            <w:tcW w:w="1065" w:type="dxa"/>
          </w:tcPr>
          <w:p>
            <w:pPr>
              <w:pStyle w:val="12"/>
            </w:pPr>
          </w:p>
        </w:tc>
        <w:tc>
          <w:tcPr>
            <w:tcW w:w="1065"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pStyle w:val="12"/>
            </w:pPr>
            <w:r>
              <w:rPr>
                <w:rFonts w:hint="eastAsia"/>
              </w:rPr>
              <w:t>3</w:t>
            </w:r>
          </w:p>
        </w:tc>
        <w:tc>
          <w:tcPr>
            <w:tcW w:w="1064" w:type="dxa"/>
          </w:tcPr>
          <w:p>
            <w:pPr>
              <w:pStyle w:val="12"/>
            </w:pPr>
          </w:p>
        </w:tc>
        <w:tc>
          <w:tcPr>
            <w:tcW w:w="1064" w:type="dxa"/>
          </w:tcPr>
          <w:p>
            <w:pPr>
              <w:pStyle w:val="12"/>
            </w:pPr>
          </w:p>
        </w:tc>
        <w:tc>
          <w:tcPr>
            <w:tcW w:w="1064" w:type="dxa"/>
          </w:tcPr>
          <w:p>
            <w:pPr>
              <w:pStyle w:val="12"/>
            </w:pPr>
          </w:p>
        </w:tc>
        <w:tc>
          <w:tcPr>
            <w:tcW w:w="1064" w:type="dxa"/>
          </w:tcPr>
          <w:p>
            <w:pPr>
              <w:pStyle w:val="12"/>
            </w:pPr>
          </w:p>
        </w:tc>
        <w:tc>
          <w:tcPr>
            <w:tcW w:w="1065" w:type="dxa"/>
          </w:tcPr>
          <w:p>
            <w:pPr>
              <w:pStyle w:val="12"/>
            </w:pPr>
          </w:p>
        </w:tc>
        <w:tc>
          <w:tcPr>
            <w:tcW w:w="1065" w:type="dxa"/>
          </w:tcPr>
          <w:p>
            <w:pPr>
              <w:pStyle w:val="12"/>
            </w:pPr>
          </w:p>
        </w:tc>
        <w:tc>
          <w:tcPr>
            <w:tcW w:w="1065"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pStyle w:val="12"/>
            </w:pPr>
            <w:r>
              <w:rPr>
                <w:rFonts w:hint="eastAsia"/>
              </w:rPr>
              <w:t>4</w:t>
            </w:r>
          </w:p>
        </w:tc>
        <w:tc>
          <w:tcPr>
            <w:tcW w:w="1064" w:type="dxa"/>
          </w:tcPr>
          <w:p>
            <w:pPr>
              <w:pStyle w:val="12"/>
            </w:pPr>
          </w:p>
        </w:tc>
        <w:tc>
          <w:tcPr>
            <w:tcW w:w="1064" w:type="dxa"/>
          </w:tcPr>
          <w:p>
            <w:pPr>
              <w:pStyle w:val="12"/>
            </w:pPr>
          </w:p>
        </w:tc>
        <w:tc>
          <w:tcPr>
            <w:tcW w:w="1064" w:type="dxa"/>
          </w:tcPr>
          <w:p>
            <w:pPr>
              <w:pStyle w:val="12"/>
            </w:pPr>
          </w:p>
        </w:tc>
        <w:tc>
          <w:tcPr>
            <w:tcW w:w="1064" w:type="dxa"/>
          </w:tcPr>
          <w:p>
            <w:pPr>
              <w:pStyle w:val="12"/>
            </w:pPr>
          </w:p>
        </w:tc>
        <w:tc>
          <w:tcPr>
            <w:tcW w:w="1065" w:type="dxa"/>
          </w:tcPr>
          <w:p>
            <w:pPr>
              <w:pStyle w:val="12"/>
            </w:pPr>
          </w:p>
        </w:tc>
        <w:tc>
          <w:tcPr>
            <w:tcW w:w="1065" w:type="dxa"/>
          </w:tcPr>
          <w:p>
            <w:pPr>
              <w:pStyle w:val="12"/>
            </w:pPr>
          </w:p>
        </w:tc>
        <w:tc>
          <w:tcPr>
            <w:tcW w:w="1065" w:type="dxa"/>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pStyle w:val="12"/>
            </w:pPr>
            <w:r>
              <w:rPr>
                <w:rFonts w:hint="eastAsia"/>
              </w:rPr>
              <w:t>合计</w:t>
            </w:r>
          </w:p>
        </w:tc>
        <w:tc>
          <w:tcPr>
            <w:tcW w:w="1064" w:type="dxa"/>
          </w:tcPr>
          <w:p>
            <w:pPr>
              <w:pStyle w:val="12"/>
            </w:pPr>
          </w:p>
        </w:tc>
        <w:tc>
          <w:tcPr>
            <w:tcW w:w="1064" w:type="dxa"/>
          </w:tcPr>
          <w:p>
            <w:pPr>
              <w:pStyle w:val="12"/>
            </w:pPr>
          </w:p>
        </w:tc>
        <w:tc>
          <w:tcPr>
            <w:tcW w:w="1064" w:type="dxa"/>
          </w:tcPr>
          <w:p>
            <w:pPr>
              <w:pStyle w:val="12"/>
            </w:pPr>
          </w:p>
        </w:tc>
        <w:tc>
          <w:tcPr>
            <w:tcW w:w="1064" w:type="dxa"/>
          </w:tcPr>
          <w:p>
            <w:pPr>
              <w:pStyle w:val="12"/>
            </w:pPr>
          </w:p>
        </w:tc>
        <w:tc>
          <w:tcPr>
            <w:tcW w:w="1065" w:type="dxa"/>
          </w:tcPr>
          <w:p>
            <w:pPr>
              <w:pStyle w:val="12"/>
            </w:pPr>
          </w:p>
        </w:tc>
        <w:tc>
          <w:tcPr>
            <w:tcW w:w="1065" w:type="dxa"/>
          </w:tcPr>
          <w:p>
            <w:pPr>
              <w:pStyle w:val="12"/>
            </w:pPr>
          </w:p>
        </w:tc>
        <w:tc>
          <w:tcPr>
            <w:tcW w:w="1065" w:type="dxa"/>
          </w:tcPr>
          <w:p>
            <w:pPr>
              <w:pStyle w:val="12"/>
            </w:pPr>
          </w:p>
        </w:tc>
      </w:tr>
    </w:tbl>
    <w:p/>
    <w:p/>
    <w:p>
      <w:pPr>
        <w:jc w:val="center"/>
        <w:rPr>
          <w:rFonts w:hint="eastAsia" w:ascii="宋体" w:hAnsi="宋体" w:cs="宋体"/>
          <w:sz w:val="36"/>
          <w:szCs w:val="36"/>
        </w:rPr>
      </w:pPr>
    </w:p>
    <w:p>
      <w:pPr>
        <w:jc w:val="center"/>
        <w:rPr>
          <w:rFonts w:hint="eastAsia" w:ascii="宋体" w:hAnsi="宋体" w:cs="宋体"/>
          <w:sz w:val="36"/>
          <w:szCs w:val="36"/>
        </w:rPr>
      </w:pPr>
      <w:r>
        <w:rPr>
          <w:rFonts w:hint="eastAsia" w:ascii="宋体" w:hAnsi="宋体" w:cs="宋体"/>
          <w:sz w:val="36"/>
          <w:szCs w:val="36"/>
        </w:rPr>
        <w:t>8.具体供货、运作方案和时间节点、售后服务等方案</w:t>
      </w:r>
    </w:p>
    <w:p>
      <w:pPr>
        <w:rPr>
          <w:rFonts w:hint="eastAsia"/>
        </w:rPr>
      </w:pPr>
    </w:p>
    <w:p>
      <w:pPr>
        <w:jc w:val="center"/>
      </w:pPr>
      <w:r>
        <w:rPr>
          <w:rFonts w:hint="eastAsia"/>
        </w:rPr>
        <w:t>内容自拟！</w:t>
      </w:r>
    </w:p>
    <w:sectPr>
      <w:pgSz w:w="11905" w:h="16838"/>
      <w:pgMar w:top="1440" w:right="1803" w:bottom="1440" w:left="1803"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魏碑_GBK">
    <w:altName w:val="宋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879869"/>
    </w:sdtPr>
    <w:sdtContent>
      <w:p>
        <w:pPr>
          <w:pStyle w:val="22"/>
          <w:jc w:val="center"/>
        </w:pPr>
        <w:r>
          <w:fldChar w:fldCharType="begin"/>
        </w:r>
        <w:r>
          <w:instrText xml:space="preserve"> PAGE   \* MERGEFORMAT </w:instrText>
        </w:r>
        <w:r>
          <w:fldChar w:fldCharType="separate"/>
        </w:r>
        <w:r>
          <w:rPr>
            <w:lang w:val="zh-CN"/>
          </w:rPr>
          <w:t>61</w:t>
        </w:r>
        <w:r>
          <w:rPr>
            <w:lang w:val="zh-CN"/>
          </w:rPr>
          <w:fldChar w:fldCharType="end"/>
        </w:r>
      </w:p>
    </w:sdtContent>
  </w:sdt>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51"/>
      <w:lvlText w:val="附录%1."/>
      <w:lvlJc w:val="left"/>
      <w:pPr>
        <w:tabs>
          <w:tab w:val="left" w:pos="907"/>
        </w:tabs>
        <w:ind w:left="907" w:hanging="907"/>
      </w:pPr>
      <w:rPr>
        <w:rFonts w:hint="eastAsia"/>
      </w:rPr>
    </w:lvl>
  </w:abstractNum>
  <w:abstractNum w:abstractNumId="1">
    <w:nsid w:val="2267D408"/>
    <w:multiLevelType w:val="singleLevel"/>
    <w:tmpl w:val="2267D408"/>
    <w:lvl w:ilvl="0" w:tentative="0">
      <w:start w:val="1"/>
      <w:numFmt w:val="chineseCounting"/>
      <w:suff w:val="nothing"/>
      <w:lvlText w:val="%1、"/>
      <w:lvlJc w:val="left"/>
      <w:rPr>
        <w:rFonts w:hint="eastAsia"/>
      </w:rPr>
    </w:lvl>
  </w:abstractNum>
  <w:abstractNum w:abstractNumId="2">
    <w:nsid w:val="237E4D61"/>
    <w:multiLevelType w:val="multilevel"/>
    <w:tmpl w:val="237E4D61"/>
    <w:lvl w:ilvl="0" w:tentative="0">
      <w:start w:val="1"/>
      <w:numFmt w:val="japaneseCounting"/>
      <w:pStyle w:val="92"/>
      <w:lvlText w:val="第%1章"/>
      <w:lvlJc w:val="left"/>
      <w:pPr>
        <w:ind w:left="9351" w:hanging="420"/>
      </w:pPr>
      <w:rPr>
        <w:rFonts w:hint="eastAsia" w:ascii="黑体" w:eastAsia="黑体"/>
        <w:b w:val="0"/>
        <w:sz w:val="36"/>
        <w:lang w:val="en-US"/>
      </w:rPr>
    </w:lvl>
    <w:lvl w:ilvl="1" w:tentative="0">
      <w:start w:val="1"/>
      <w:numFmt w:val="decimal"/>
      <w:pStyle w:val="93"/>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94"/>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pStyle w:val="95"/>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7B568F5E"/>
    <w:multiLevelType w:val="singleLevel"/>
    <w:tmpl w:val="7B568F5E"/>
    <w:lvl w:ilvl="0" w:tentative="0">
      <w:start w:val="19"/>
      <w:numFmt w:val="upperLetter"/>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7E80"/>
    <w:rsid w:val="00004CAD"/>
    <w:rsid w:val="00023E63"/>
    <w:rsid w:val="000456FC"/>
    <w:rsid w:val="00077042"/>
    <w:rsid w:val="00077FA7"/>
    <w:rsid w:val="00097E80"/>
    <w:rsid w:val="000D0FB6"/>
    <w:rsid w:val="00125241"/>
    <w:rsid w:val="00174695"/>
    <w:rsid w:val="0019473C"/>
    <w:rsid w:val="00195D9D"/>
    <w:rsid w:val="001A1B0F"/>
    <w:rsid w:val="001C50ED"/>
    <w:rsid w:val="0020345B"/>
    <w:rsid w:val="002123FE"/>
    <w:rsid w:val="00212508"/>
    <w:rsid w:val="00242269"/>
    <w:rsid w:val="00250A66"/>
    <w:rsid w:val="002626AF"/>
    <w:rsid w:val="002A6616"/>
    <w:rsid w:val="002C219D"/>
    <w:rsid w:val="002E0267"/>
    <w:rsid w:val="00306142"/>
    <w:rsid w:val="00343DD5"/>
    <w:rsid w:val="003621DA"/>
    <w:rsid w:val="003707E2"/>
    <w:rsid w:val="003773A8"/>
    <w:rsid w:val="00381CC2"/>
    <w:rsid w:val="003A6142"/>
    <w:rsid w:val="004430F1"/>
    <w:rsid w:val="004608E6"/>
    <w:rsid w:val="00496537"/>
    <w:rsid w:val="004F4908"/>
    <w:rsid w:val="00632B19"/>
    <w:rsid w:val="006B757C"/>
    <w:rsid w:val="006C37C5"/>
    <w:rsid w:val="006D34E2"/>
    <w:rsid w:val="00702DBB"/>
    <w:rsid w:val="007165FC"/>
    <w:rsid w:val="00737182"/>
    <w:rsid w:val="00764A75"/>
    <w:rsid w:val="00794740"/>
    <w:rsid w:val="007A18F2"/>
    <w:rsid w:val="007C22FB"/>
    <w:rsid w:val="0080715E"/>
    <w:rsid w:val="00897004"/>
    <w:rsid w:val="008A2CFC"/>
    <w:rsid w:val="008B785A"/>
    <w:rsid w:val="008F1A6E"/>
    <w:rsid w:val="0093255C"/>
    <w:rsid w:val="00954358"/>
    <w:rsid w:val="009846EB"/>
    <w:rsid w:val="00996ED1"/>
    <w:rsid w:val="009F43F9"/>
    <w:rsid w:val="00A13EBF"/>
    <w:rsid w:val="00B07654"/>
    <w:rsid w:val="00B33ECE"/>
    <w:rsid w:val="00B45BAF"/>
    <w:rsid w:val="00BD351B"/>
    <w:rsid w:val="00BE63C0"/>
    <w:rsid w:val="00C12C5B"/>
    <w:rsid w:val="00C213ED"/>
    <w:rsid w:val="00C56CEC"/>
    <w:rsid w:val="00C65712"/>
    <w:rsid w:val="00C90511"/>
    <w:rsid w:val="00C933E0"/>
    <w:rsid w:val="00CD07BA"/>
    <w:rsid w:val="00CF2D05"/>
    <w:rsid w:val="00D0033D"/>
    <w:rsid w:val="00D32DA9"/>
    <w:rsid w:val="00D92CDA"/>
    <w:rsid w:val="00D9305E"/>
    <w:rsid w:val="00DA5C52"/>
    <w:rsid w:val="00DC3B21"/>
    <w:rsid w:val="00DF49CE"/>
    <w:rsid w:val="00E023D9"/>
    <w:rsid w:val="00E04EB1"/>
    <w:rsid w:val="00E2192F"/>
    <w:rsid w:val="00E21B0B"/>
    <w:rsid w:val="00E5140C"/>
    <w:rsid w:val="00EE11DF"/>
    <w:rsid w:val="00F1179C"/>
    <w:rsid w:val="00F342DD"/>
    <w:rsid w:val="00F713D7"/>
    <w:rsid w:val="00FE6659"/>
    <w:rsid w:val="00FF066F"/>
    <w:rsid w:val="00FF2359"/>
    <w:rsid w:val="05570327"/>
    <w:rsid w:val="077F0A1E"/>
    <w:rsid w:val="07925A6A"/>
    <w:rsid w:val="07B6796A"/>
    <w:rsid w:val="0A2E5648"/>
    <w:rsid w:val="0AD746A9"/>
    <w:rsid w:val="0B9A65DA"/>
    <w:rsid w:val="0BA50A7C"/>
    <w:rsid w:val="0C342339"/>
    <w:rsid w:val="0E784C85"/>
    <w:rsid w:val="14617FEF"/>
    <w:rsid w:val="15381601"/>
    <w:rsid w:val="1582713D"/>
    <w:rsid w:val="1C2C4F94"/>
    <w:rsid w:val="1F4A3DCC"/>
    <w:rsid w:val="214B3D61"/>
    <w:rsid w:val="21740F2B"/>
    <w:rsid w:val="21E9595E"/>
    <w:rsid w:val="241311D2"/>
    <w:rsid w:val="24C726DE"/>
    <w:rsid w:val="252B7C9C"/>
    <w:rsid w:val="28051D9B"/>
    <w:rsid w:val="285A20B7"/>
    <w:rsid w:val="2AE24C51"/>
    <w:rsid w:val="2B382F5E"/>
    <w:rsid w:val="2B917075"/>
    <w:rsid w:val="2C4E58A1"/>
    <w:rsid w:val="2D5D5D37"/>
    <w:rsid w:val="2DD10AF9"/>
    <w:rsid w:val="2EBD70C6"/>
    <w:rsid w:val="2F8A5467"/>
    <w:rsid w:val="331F772C"/>
    <w:rsid w:val="3384704F"/>
    <w:rsid w:val="34C77773"/>
    <w:rsid w:val="35035B7A"/>
    <w:rsid w:val="354E21F4"/>
    <w:rsid w:val="3B197D51"/>
    <w:rsid w:val="3D153247"/>
    <w:rsid w:val="3D950548"/>
    <w:rsid w:val="3DE65532"/>
    <w:rsid w:val="3E553218"/>
    <w:rsid w:val="3F76260A"/>
    <w:rsid w:val="42094F02"/>
    <w:rsid w:val="43853994"/>
    <w:rsid w:val="44B470CF"/>
    <w:rsid w:val="45115AC8"/>
    <w:rsid w:val="4847608D"/>
    <w:rsid w:val="48B1443E"/>
    <w:rsid w:val="495370AA"/>
    <w:rsid w:val="4A6F2CD5"/>
    <w:rsid w:val="4B5047DF"/>
    <w:rsid w:val="4B9E7CE0"/>
    <w:rsid w:val="4CF63C09"/>
    <w:rsid w:val="4F3344BF"/>
    <w:rsid w:val="51105EDE"/>
    <w:rsid w:val="51A913C9"/>
    <w:rsid w:val="521F0129"/>
    <w:rsid w:val="52ED5BE5"/>
    <w:rsid w:val="543B1E48"/>
    <w:rsid w:val="54915AD2"/>
    <w:rsid w:val="59ED47D5"/>
    <w:rsid w:val="5BE22EEE"/>
    <w:rsid w:val="5E732B99"/>
    <w:rsid w:val="5F251916"/>
    <w:rsid w:val="5F4E487E"/>
    <w:rsid w:val="5F5D6AF6"/>
    <w:rsid w:val="5F791960"/>
    <w:rsid w:val="60094DEC"/>
    <w:rsid w:val="60862371"/>
    <w:rsid w:val="61C443A0"/>
    <w:rsid w:val="62A87F37"/>
    <w:rsid w:val="62C95ECC"/>
    <w:rsid w:val="65342342"/>
    <w:rsid w:val="68733D10"/>
    <w:rsid w:val="69DF6697"/>
    <w:rsid w:val="6A472FF1"/>
    <w:rsid w:val="6A647C69"/>
    <w:rsid w:val="6D5C102D"/>
    <w:rsid w:val="6DD14BFA"/>
    <w:rsid w:val="6DEE6AF2"/>
    <w:rsid w:val="6DF56A63"/>
    <w:rsid w:val="6FF85524"/>
    <w:rsid w:val="733413B5"/>
    <w:rsid w:val="73563DD7"/>
    <w:rsid w:val="744E0299"/>
    <w:rsid w:val="74C46FD0"/>
    <w:rsid w:val="754350F3"/>
    <w:rsid w:val="7A3F11A4"/>
    <w:rsid w:val="7C5D599E"/>
    <w:rsid w:val="7CFE6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4"/>
    <w:qFormat/>
    <w:uiPriority w:val="0"/>
    <w:pPr>
      <w:keepNext/>
      <w:jc w:val="center"/>
      <w:outlineLvl w:val="0"/>
    </w:pPr>
    <w:rPr>
      <w:rFonts w:ascii="楷体_GB2312" w:hAnsi="Times New Roman" w:eastAsia="楷体_GB2312"/>
      <w:sz w:val="28"/>
      <w:szCs w:val="28"/>
    </w:rPr>
  </w:style>
  <w:style w:type="paragraph" w:styleId="4">
    <w:name w:val="heading 2"/>
    <w:basedOn w:val="1"/>
    <w:next w:val="5"/>
    <w:link w:val="4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46"/>
    <w:qFormat/>
    <w:uiPriority w:val="0"/>
    <w:pPr>
      <w:keepNext/>
      <w:keepLines/>
      <w:spacing w:before="260" w:after="260" w:line="416" w:lineRule="auto"/>
      <w:outlineLvl w:val="2"/>
    </w:pPr>
    <w:rPr>
      <w:rFonts w:ascii="Times New Roman" w:hAnsi="Times New Roman"/>
      <w:b/>
      <w:bCs/>
      <w:sz w:val="32"/>
      <w:szCs w:val="32"/>
    </w:rPr>
  </w:style>
  <w:style w:type="paragraph" w:styleId="2">
    <w:name w:val="heading 4"/>
    <w:basedOn w:val="1"/>
    <w:next w:val="1"/>
    <w:link w:val="47"/>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5"/>
    <w:link w:val="48"/>
    <w:qFormat/>
    <w:uiPriority w:val="0"/>
    <w:pPr>
      <w:keepNext/>
      <w:autoSpaceDE w:val="0"/>
      <w:autoSpaceDN w:val="0"/>
      <w:adjustRightInd w:val="0"/>
      <w:outlineLvl w:val="4"/>
    </w:pPr>
    <w:rPr>
      <w:rFonts w:ascii="宋体" w:hAnsi="Times New Roman"/>
      <w:color w:val="000000"/>
      <w:kern w:val="0"/>
      <w:sz w:val="28"/>
      <w:szCs w:val="28"/>
    </w:rPr>
  </w:style>
  <w:style w:type="character" w:default="1" w:styleId="38">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49"/>
    <w:qFormat/>
    <w:uiPriority w:val="0"/>
    <w:pPr>
      <w:ind w:firstLine="420"/>
    </w:pPr>
    <w:rPr>
      <w:rFonts w:ascii="Times New Roman" w:hAnsi="Times New Roman" w:eastAsia="Times New Roman"/>
      <w:szCs w:val="21"/>
    </w:rPr>
  </w:style>
  <w:style w:type="paragraph" w:styleId="8">
    <w:name w:val="toc 7"/>
    <w:basedOn w:val="1"/>
    <w:next w:val="1"/>
    <w:semiHidden/>
    <w:qFormat/>
    <w:uiPriority w:val="0"/>
    <w:pPr>
      <w:ind w:left="1260"/>
      <w:jc w:val="left"/>
    </w:pPr>
    <w:rPr>
      <w:rFonts w:ascii="Times New Roman" w:hAnsi="Times New Roman"/>
      <w:szCs w:val="21"/>
    </w:rPr>
  </w:style>
  <w:style w:type="paragraph" w:styleId="9">
    <w:name w:val="Document Map"/>
    <w:basedOn w:val="1"/>
    <w:link w:val="57"/>
    <w:semiHidden/>
    <w:qFormat/>
    <w:uiPriority w:val="0"/>
    <w:pPr>
      <w:shd w:val="clear" w:color="auto" w:fill="000080"/>
    </w:pPr>
    <w:rPr>
      <w:rFonts w:ascii="Times New Roman" w:hAnsi="Times New Roman"/>
      <w:szCs w:val="21"/>
    </w:rPr>
  </w:style>
  <w:style w:type="paragraph" w:styleId="10">
    <w:name w:val="annotation text"/>
    <w:basedOn w:val="1"/>
    <w:link w:val="58"/>
    <w:semiHidden/>
    <w:qFormat/>
    <w:uiPriority w:val="0"/>
    <w:pPr>
      <w:jc w:val="left"/>
    </w:pPr>
  </w:style>
  <w:style w:type="paragraph" w:styleId="11">
    <w:name w:val="Body Text 3"/>
    <w:basedOn w:val="1"/>
    <w:link w:val="60"/>
    <w:qFormat/>
    <w:uiPriority w:val="0"/>
    <w:rPr>
      <w:rFonts w:ascii="仿宋_GB2312" w:hAnsi="Arial" w:eastAsia="仿宋_GB2312"/>
      <w:sz w:val="32"/>
      <w:szCs w:val="32"/>
    </w:rPr>
  </w:style>
  <w:style w:type="paragraph" w:styleId="12">
    <w:name w:val="Body Text"/>
    <w:basedOn w:val="1"/>
    <w:link w:val="56"/>
    <w:qFormat/>
    <w:uiPriority w:val="0"/>
    <w:rPr>
      <w:rFonts w:ascii="楷体_GB2312" w:hAnsi="Arial" w:eastAsia="楷体_GB2312"/>
      <w:sz w:val="28"/>
      <w:szCs w:val="28"/>
    </w:rPr>
  </w:style>
  <w:style w:type="paragraph" w:styleId="13">
    <w:name w:val="Body Text Indent"/>
    <w:basedOn w:val="1"/>
    <w:link w:val="61"/>
    <w:qFormat/>
    <w:uiPriority w:val="0"/>
    <w:pPr>
      <w:ind w:firstLine="645"/>
    </w:pPr>
    <w:rPr>
      <w:rFonts w:ascii="楷体_GB2312" w:hAnsi="Times New Roman" w:eastAsia="楷体_GB2312"/>
      <w:sz w:val="32"/>
      <w:szCs w:val="32"/>
    </w:rPr>
  </w:style>
  <w:style w:type="paragraph" w:styleId="14">
    <w:name w:val="List 2"/>
    <w:basedOn w:val="1"/>
    <w:qFormat/>
    <w:uiPriority w:val="0"/>
    <w:pPr>
      <w:ind w:left="100" w:leftChars="200" w:hanging="200" w:hangingChars="200"/>
    </w:pPr>
    <w:rPr>
      <w:rFonts w:ascii="Times New Roman" w:hAnsi="Times New Roman"/>
      <w:szCs w:val="21"/>
    </w:rPr>
  </w:style>
  <w:style w:type="paragraph" w:styleId="15">
    <w:name w:val="toc 5"/>
    <w:basedOn w:val="1"/>
    <w:next w:val="1"/>
    <w:semiHidden/>
    <w:qFormat/>
    <w:uiPriority w:val="0"/>
    <w:pPr>
      <w:ind w:left="840"/>
      <w:jc w:val="left"/>
    </w:pPr>
    <w:rPr>
      <w:rFonts w:ascii="Times New Roman" w:hAnsi="Times New Roman"/>
      <w:szCs w:val="21"/>
    </w:rPr>
  </w:style>
  <w:style w:type="paragraph" w:styleId="16">
    <w:name w:val="toc 3"/>
    <w:basedOn w:val="1"/>
    <w:next w:val="1"/>
    <w:semiHidden/>
    <w:qFormat/>
    <w:uiPriority w:val="0"/>
    <w:pPr>
      <w:ind w:left="420"/>
      <w:jc w:val="left"/>
    </w:pPr>
    <w:rPr>
      <w:rFonts w:ascii="Times New Roman" w:hAnsi="Times New Roman"/>
      <w:i/>
      <w:iCs/>
      <w:szCs w:val="24"/>
    </w:rPr>
  </w:style>
  <w:style w:type="paragraph" w:styleId="17">
    <w:name w:val="Plain Text"/>
    <w:basedOn w:val="1"/>
    <w:link w:val="65"/>
    <w:qFormat/>
    <w:uiPriority w:val="0"/>
    <w:rPr>
      <w:rFonts w:ascii="宋体" w:hAnsi="Courier New" w:cs="Courier New"/>
      <w:szCs w:val="21"/>
    </w:rPr>
  </w:style>
  <w:style w:type="paragraph" w:styleId="18">
    <w:name w:val="toc 8"/>
    <w:basedOn w:val="1"/>
    <w:next w:val="1"/>
    <w:semiHidden/>
    <w:qFormat/>
    <w:uiPriority w:val="0"/>
    <w:pPr>
      <w:ind w:left="1470"/>
      <w:jc w:val="left"/>
    </w:pPr>
    <w:rPr>
      <w:rFonts w:ascii="Times New Roman" w:hAnsi="Times New Roman"/>
      <w:szCs w:val="21"/>
    </w:rPr>
  </w:style>
  <w:style w:type="paragraph" w:styleId="19">
    <w:name w:val="Date"/>
    <w:basedOn w:val="1"/>
    <w:next w:val="1"/>
    <w:link w:val="69"/>
    <w:qFormat/>
    <w:uiPriority w:val="0"/>
    <w:rPr>
      <w:rFonts w:ascii="Times New Roman" w:hAnsi="Times New Roman"/>
      <w:sz w:val="24"/>
      <w:szCs w:val="24"/>
    </w:rPr>
  </w:style>
  <w:style w:type="paragraph" w:styleId="20">
    <w:name w:val="Body Text Indent 2"/>
    <w:basedOn w:val="1"/>
    <w:link w:val="62"/>
    <w:qFormat/>
    <w:uiPriority w:val="0"/>
    <w:pPr>
      <w:ind w:left="630" w:firstLine="645"/>
    </w:pPr>
    <w:rPr>
      <w:rFonts w:ascii="Arial" w:hAnsi="Arial" w:eastAsia="仿宋_GB2312" w:cs="Arial"/>
      <w:sz w:val="32"/>
      <w:szCs w:val="32"/>
    </w:rPr>
  </w:style>
  <w:style w:type="paragraph" w:styleId="21">
    <w:name w:val="Balloon Text"/>
    <w:basedOn w:val="1"/>
    <w:link w:val="66"/>
    <w:semiHidden/>
    <w:qFormat/>
    <w:uiPriority w:val="0"/>
    <w:rPr>
      <w:rFonts w:ascii="Times New Roman" w:hAnsi="Times New Roman"/>
      <w:sz w:val="18"/>
      <w:szCs w:val="18"/>
    </w:rPr>
  </w:style>
  <w:style w:type="paragraph" w:styleId="22">
    <w:name w:val="footer"/>
    <w:basedOn w:val="1"/>
    <w:link w:val="63"/>
    <w:qFormat/>
    <w:uiPriority w:val="99"/>
    <w:pPr>
      <w:tabs>
        <w:tab w:val="center" w:pos="4153"/>
        <w:tab w:val="right" w:pos="8306"/>
      </w:tabs>
      <w:snapToGrid w:val="0"/>
      <w:jc w:val="left"/>
    </w:pPr>
    <w:rPr>
      <w:rFonts w:ascii="Times New Roman" w:hAnsi="Times New Roman"/>
      <w:sz w:val="18"/>
      <w:szCs w:val="18"/>
    </w:rPr>
  </w:style>
  <w:style w:type="paragraph" w:styleId="23">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4">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25">
    <w:name w:val="toc 4"/>
    <w:basedOn w:val="1"/>
    <w:next w:val="1"/>
    <w:semiHidden/>
    <w:qFormat/>
    <w:uiPriority w:val="0"/>
    <w:pPr>
      <w:ind w:left="630"/>
      <w:jc w:val="left"/>
    </w:pPr>
    <w:rPr>
      <w:rFonts w:ascii="Times New Roman" w:hAnsi="Times New Roman"/>
      <w:szCs w:val="21"/>
    </w:rPr>
  </w:style>
  <w:style w:type="paragraph" w:styleId="26">
    <w:name w:val="List"/>
    <w:basedOn w:val="1"/>
    <w:qFormat/>
    <w:uiPriority w:val="0"/>
    <w:pPr>
      <w:ind w:left="200" w:hanging="200" w:hangingChars="200"/>
    </w:pPr>
    <w:rPr>
      <w:rFonts w:ascii="Times New Roman" w:hAnsi="Times New Roman"/>
      <w:szCs w:val="21"/>
    </w:rPr>
  </w:style>
  <w:style w:type="paragraph" w:styleId="27">
    <w:name w:val="toc 6"/>
    <w:basedOn w:val="1"/>
    <w:next w:val="1"/>
    <w:semiHidden/>
    <w:qFormat/>
    <w:uiPriority w:val="0"/>
    <w:pPr>
      <w:ind w:left="1050"/>
      <w:jc w:val="left"/>
    </w:pPr>
    <w:rPr>
      <w:rFonts w:ascii="Times New Roman" w:hAnsi="Times New Roman"/>
      <w:szCs w:val="21"/>
    </w:rPr>
  </w:style>
  <w:style w:type="paragraph" w:styleId="28">
    <w:name w:val="Body Text Indent 3"/>
    <w:basedOn w:val="1"/>
    <w:link w:val="67"/>
    <w:qFormat/>
    <w:uiPriority w:val="0"/>
    <w:pPr>
      <w:ind w:left="645" w:firstLine="645"/>
    </w:pPr>
    <w:rPr>
      <w:rFonts w:ascii="Arial" w:hAnsi="Arial" w:eastAsia="仿宋_GB2312" w:cs="Arial"/>
      <w:color w:val="FFFF00"/>
      <w:sz w:val="32"/>
      <w:szCs w:val="32"/>
    </w:rPr>
  </w:style>
  <w:style w:type="paragraph" w:styleId="29">
    <w:name w:val="toc 2"/>
    <w:basedOn w:val="1"/>
    <w:next w:val="1"/>
    <w:semiHidden/>
    <w:qFormat/>
    <w:uiPriority w:val="0"/>
    <w:pPr>
      <w:ind w:left="210"/>
      <w:jc w:val="left"/>
    </w:pPr>
    <w:rPr>
      <w:rFonts w:ascii="Times New Roman" w:hAnsi="Times New Roman"/>
      <w:smallCaps/>
      <w:szCs w:val="24"/>
    </w:rPr>
  </w:style>
  <w:style w:type="paragraph" w:styleId="30">
    <w:name w:val="toc 9"/>
    <w:basedOn w:val="1"/>
    <w:next w:val="1"/>
    <w:semiHidden/>
    <w:qFormat/>
    <w:uiPriority w:val="0"/>
    <w:pPr>
      <w:ind w:left="1680"/>
      <w:jc w:val="left"/>
    </w:pPr>
    <w:rPr>
      <w:rFonts w:ascii="Times New Roman" w:hAnsi="Times New Roman"/>
      <w:szCs w:val="21"/>
    </w:rPr>
  </w:style>
  <w:style w:type="paragraph" w:styleId="31">
    <w:name w:val="Body Text 2"/>
    <w:basedOn w:val="1"/>
    <w:link w:val="64"/>
    <w:qFormat/>
    <w:uiPriority w:val="0"/>
    <w:pPr>
      <w:widowControl/>
      <w:jc w:val="center"/>
    </w:pPr>
    <w:rPr>
      <w:rFonts w:ascii="楷体_GB2312" w:hAnsi="Times New Roman" w:eastAsia="楷体_GB2312"/>
      <w:sz w:val="28"/>
      <w:szCs w:val="28"/>
    </w:rPr>
  </w:style>
  <w:style w:type="paragraph" w:styleId="32">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semiHidden/>
    <w:qFormat/>
    <w:uiPriority w:val="0"/>
    <w:pPr>
      <w:spacing w:line="240" w:lineRule="atLeast"/>
    </w:pPr>
    <w:rPr>
      <w:rFonts w:ascii="Times New Roman" w:hAnsi="Times New Roman"/>
      <w:b/>
      <w:bCs/>
      <w:szCs w:val="21"/>
    </w:rPr>
  </w:style>
  <w:style w:type="paragraph" w:styleId="35">
    <w:name w:val="annotation subject"/>
    <w:basedOn w:val="10"/>
    <w:next w:val="10"/>
    <w:link w:val="59"/>
    <w:semiHidden/>
    <w:qFormat/>
    <w:uiPriority w:val="0"/>
    <w:rPr>
      <w:rFonts w:ascii="Times New Roman" w:hAnsi="Times New Roman"/>
      <w:b/>
      <w:bCs/>
      <w:szCs w:val="21"/>
    </w:rPr>
  </w:style>
  <w:style w:type="table" w:styleId="37">
    <w:name w:val="Table Grid"/>
    <w:basedOn w:val="3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semiHidden/>
    <w:qFormat/>
    <w:uiPriority w:val="0"/>
    <w:rPr>
      <w:sz w:val="21"/>
      <w:szCs w:val="21"/>
    </w:rPr>
  </w:style>
  <w:style w:type="character" w:customStyle="1" w:styleId="44">
    <w:name w:val="标题 1 Char"/>
    <w:basedOn w:val="38"/>
    <w:link w:val="3"/>
    <w:qFormat/>
    <w:uiPriority w:val="0"/>
    <w:rPr>
      <w:rFonts w:ascii="楷体_GB2312" w:hAnsi="Times New Roman" w:eastAsia="楷体_GB2312" w:cs="Times New Roman"/>
      <w:sz w:val="28"/>
      <w:szCs w:val="28"/>
    </w:rPr>
  </w:style>
  <w:style w:type="character" w:customStyle="1" w:styleId="45">
    <w:name w:val="标题 2 Char"/>
    <w:basedOn w:val="38"/>
    <w:link w:val="4"/>
    <w:qFormat/>
    <w:uiPriority w:val="0"/>
    <w:rPr>
      <w:rFonts w:ascii="Arial" w:hAnsi="Arial" w:eastAsia="幼圆" w:cs="Arial"/>
      <w:b/>
      <w:bCs/>
      <w:sz w:val="44"/>
      <w:szCs w:val="44"/>
    </w:rPr>
  </w:style>
  <w:style w:type="character" w:customStyle="1" w:styleId="46">
    <w:name w:val="标题 3 Char"/>
    <w:basedOn w:val="38"/>
    <w:link w:val="6"/>
    <w:qFormat/>
    <w:uiPriority w:val="0"/>
    <w:rPr>
      <w:rFonts w:ascii="Times New Roman" w:hAnsi="Times New Roman" w:eastAsia="宋体" w:cs="Times New Roman"/>
      <w:b/>
      <w:bCs/>
      <w:sz w:val="32"/>
      <w:szCs w:val="32"/>
    </w:rPr>
  </w:style>
  <w:style w:type="character" w:customStyle="1" w:styleId="47">
    <w:name w:val="标题 4 Char"/>
    <w:basedOn w:val="38"/>
    <w:link w:val="2"/>
    <w:qFormat/>
    <w:uiPriority w:val="0"/>
    <w:rPr>
      <w:rFonts w:ascii="Arial" w:hAnsi="Arial" w:eastAsia="黑体" w:cs="Arial"/>
      <w:b/>
      <w:bCs/>
      <w:sz w:val="28"/>
      <w:szCs w:val="28"/>
    </w:rPr>
  </w:style>
  <w:style w:type="character" w:customStyle="1" w:styleId="48">
    <w:name w:val="标题 5 Char"/>
    <w:basedOn w:val="38"/>
    <w:link w:val="7"/>
    <w:qFormat/>
    <w:uiPriority w:val="0"/>
    <w:rPr>
      <w:rFonts w:ascii="宋体" w:hAnsi="Times New Roman" w:eastAsia="宋体" w:cs="Times New Roman"/>
      <w:color w:val="000000"/>
      <w:kern w:val="0"/>
      <w:sz w:val="28"/>
      <w:szCs w:val="28"/>
    </w:rPr>
  </w:style>
  <w:style w:type="character" w:customStyle="1" w:styleId="49">
    <w:name w:val="正文缩进 Char"/>
    <w:link w:val="5"/>
    <w:qFormat/>
    <w:uiPriority w:val="0"/>
    <w:rPr>
      <w:rFonts w:ascii="Times New Roman" w:hAnsi="Times New Roman" w:eastAsia="Times New Roman" w:cs="Times New Roman"/>
      <w:szCs w:val="21"/>
      <w:lang w:val="en-US" w:eastAsia="zh-CN"/>
    </w:rPr>
  </w:style>
  <w:style w:type="character" w:customStyle="1" w:styleId="50">
    <w:name w:val="二级目录 Char"/>
    <w:link w:val="51"/>
    <w:qFormat/>
    <w:uiPriority w:val="0"/>
    <w:rPr>
      <w:b/>
      <w:sz w:val="30"/>
      <w:szCs w:val="28"/>
    </w:rPr>
  </w:style>
  <w:style w:type="paragraph" w:customStyle="1" w:styleId="51">
    <w:name w:val="二级目录"/>
    <w:next w:val="1"/>
    <w:link w:val="50"/>
    <w:qFormat/>
    <w:uiPriority w:val="0"/>
    <w:pPr>
      <w:numPr>
        <w:ilvl w:val="0"/>
        <w:numId w:val="1"/>
      </w:numPr>
      <w:tabs>
        <w:tab w:val="left" w:pos="1145"/>
      </w:tabs>
      <w:outlineLvl w:val="1"/>
    </w:pPr>
    <w:rPr>
      <w:rFonts w:asciiTheme="minorHAnsi" w:hAnsiTheme="minorHAnsi" w:eastAsiaTheme="minorEastAsia" w:cstheme="minorBidi"/>
      <w:b/>
      <w:kern w:val="2"/>
      <w:sz w:val="30"/>
      <w:szCs w:val="28"/>
      <w:lang w:val="en-US" w:eastAsia="zh-CN" w:bidi="ar-SA"/>
    </w:rPr>
  </w:style>
  <w:style w:type="character" w:customStyle="1" w:styleId="52">
    <w:name w:val="列出段落 Char"/>
    <w:link w:val="53"/>
    <w:qFormat/>
    <w:locked/>
    <w:uiPriority w:val="0"/>
    <w:rPr>
      <w:rFonts w:ascii="Calibri" w:hAnsi="Calibri"/>
      <w:sz w:val="24"/>
      <w:szCs w:val="24"/>
      <w:lang w:eastAsia="en-US" w:bidi="en-US"/>
    </w:rPr>
  </w:style>
  <w:style w:type="paragraph" w:customStyle="1" w:styleId="53">
    <w:name w:val="列出段落1"/>
    <w:basedOn w:val="1"/>
    <w:link w:val="52"/>
    <w:qFormat/>
    <w:uiPriority w:val="0"/>
    <w:pPr>
      <w:widowControl/>
      <w:ind w:left="720"/>
      <w:contextualSpacing/>
      <w:jc w:val="left"/>
    </w:pPr>
    <w:rPr>
      <w:rFonts w:eastAsiaTheme="minorEastAsia" w:cstheme="minorBidi"/>
      <w:sz w:val="24"/>
      <w:szCs w:val="24"/>
      <w:lang w:eastAsia="en-US" w:bidi="en-US"/>
    </w:rPr>
  </w:style>
  <w:style w:type="character" w:customStyle="1" w:styleId="54">
    <w:name w:val="正文缩进2格 Char"/>
    <w:basedOn w:val="38"/>
    <w:link w:val="55"/>
    <w:qFormat/>
    <w:uiPriority w:val="0"/>
    <w:rPr>
      <w:rFonts w:ascii="仿宋_GB2312" w:hAnsi="宋体" w:eastAsia="仿宋_GB231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cstheme="minorBidi"/>
      <w:sz w:val="31"/>
      <w:szCs w:val="28"/>
    </w:rPr>
  </w:style>
  <w:style w:type="character" w:customStyle="1" w:styleId="56">
    <w:name w:val="正文文本 Char"/>
    <w:basedOn w:val="38"/>
    <w:link w:val="12"/>
    <w:qFormat/>
    <w:uiPriority w:val="0"/>
    <w:rPr>
      <w:rFonts w:ascii="楷体_GB2312" w:hAnsi="Arial" w:eastAsia="楷体_GB2312" w:cs="Times New Roman"/>
      <w:sz w:val="28"/>
      <w:szCs w:val="28"/>
    </w:rPr>
  </w:style>
  <w:style w:type="character" w:customStyle="1" w:styleId="57">
    <w:name w:val="文档结构图 Char"/>
    <w:basedOn w:val="38"/>
    <w:link w:val="9"/>
    <w:semiHidden/>
    <w:qFormat/>
    <w:uiPriority w:val="0"/>
    <w:rPr>
      <w:rFonts w:ascii="Times New Roman" w:hAnsi="Times New Roman" w:eastAsia="宋体" w:cs="Times New Roman"/>
      <w:szCs w:val="21"/>
      <w:shd w:val="clear" w:color="auto" w:fill="000080"/>
    </w:rPr>
  </w:style>
  <w:style w:type="character" w:customStyle="1" w:styleId="58">
    <w:name w:val="批注文字 Char"/>
    <w:basedOn w:val="38"/>
    <w:link w:val="10"/>
    <w:semiHidden/>
    <w:qFormat/>
    <w:uiPriority w:val="0"/>
    <w:rPr>
      <w:rFonts w:ascii="Calibri" w:hAnsi="Calibri" w:eastAsia="宋体" w:cs="Times New Roman"/>
    </w:rPr>
  </w:style>
  <w:style w:type="character" w:customStyle="1" w:styleId="59">
    <w:name w:val="批注主题 Char"/>
    <w:basedOn w:val="58"/>
    <w:link w:val="35"/>
    <w:semiHidden/>
    <w:qFormat/>
    <w:uiPriority w:val="0"/>
    <w:rPr>
      <w:rFonts w:ascii="Times New Roman" w:hAnsi="Times New Roman"/>
      <w:b/>
      <w:bCs/>
      <w:szCs w:val="21"/>
    </w:rPr>
  </w:style>
  <w:style w:type="character" w:customStyle="1" w:styleId="60">
    <w:name w:val="正文文本 3 Char"/>
    <w:basedOn w:val="38"/>
    <w:link w:val="11"/>
    <w:qFormat/>
    <w:uiPriority w:val="0"/>
    <w:rPr>
      <w:rFonts w:ascii="仿宋_GB2312" w:hAnsi="Arial" w:eastAsia="仿宋_GB2312" w:cs="Times New Roman"/>
      <w:sz w:val="32"/>
      <w:szCs w:val="32"/>
    </w:rPr>
  </w:style>
  <w:style w:type="character" w:customStyle="1" w:styleId="61">
    <w:name w:val="正文文本缩进 Char"/>
    <w:basedOn w:val="38"/>
    <w:link w:val="13"/>
    <w:qFormat/>
    <w:uiPriority w:val="0"/>
    <w:rPr>
      <w:rFonts w:ascii="楷体_GB2312" w:hAnsi="Times New Roman" w:eastAsia="楷体_GB2312" w:cs="Times New Roman"/>
      <w:sz w:val="32"/>
      <w:szCs w:val="32"/>
    </w:rPr>
  </w:style>
  <w:style w:type="character" w:customStyle="1" w:styleId="62">
    <w:name w:val="正文文本缩进 2 Char"/>
    <w:basedOn w:val="38"/>
    <w:link w:val="20"/>
    <w:qFormat/>
    <w:uiPriority w:val="0"/>
    <w:rPr>
      <w:rFonts w:ascii="Arial" w:hAnsi="Arial" w:eastAsia="仿宋_GB2312" w:cs="Arial"/>
      <w:sz w:val="32"/>
      <w:szCs w:val="32"/>
    </w:rPr>
  </w:style>
  <w:style w:type="character" w:customStyle="1" w:styleId="63">
    <w:name w:val="页脚 Char"/>
    <w:basedOn w:val="38"/>
    <w:link w:val="22"/>
    <w:qFormat/>
    <w:uiPriority w:val="99"/>
    <w:rPr>
      <w:rFonts w:ascii="Times New Roman" w:hAnsi="Times New Roman" w:eastAsia="宋体" w:cs="Times New Roman"/>
      <w:sz w:val="18"/>
      <w:szCs w:val="18"/>
    </w:rPr>
  </w:style>
  <w:style w:type="character" w:customStyle="1" w:styleId="64">
    <w:name w:val="正文文本 2 Char"/>
    <w:basedOn w:val="38"/>
    <w:link w:val="31"/>
    <w:qFormat/>
    <w:uiPriority w:val="0"/>
    <w:rPr>
      <w:rFonts w:ascii="楷体_GB2312" w:hAnsi="Times New Roman" w:eastAsia="楷体_GB2312" w:cs="Times New Roman"/>
      <w:sz w:val="28"/>
      <w:szCs w:val="28"/>
    </w:rPr>
  </w:style>
  <w:style w:type="character" w:customStyle="1" w:styleId="65">
    <w:name w:val="纯文本 Char"/>
    <w:basedOn w:val="38"/>
    <w:link w:val="17"/>
    <w:qFormat/>
    <w:uiPriority w:val="0"/>
    <w:rPr>
      <w:rFonts w:ascii="宋体" w:hAnsi="Courier New" w:eastAsia="宋体" w:cs="Courier New"/>
      <w:szCs w:val="21"/>
    </w:rPr>
  </w:style>
  <w:style w:type="character" w:customStyle="1" w:styleId="66">
    <w:name w:val="批注框文本 Char"/>
    <w:basedOn w:val="38"/>
    <w:link w:val="21"/>
    <w:semiHidden/>
    <w:qFormat/>
    <w:uiPriority w:val="0"/>
    <w:rPr>
      <w:rFonts w:ascii="Times New Roman" w:hAnsi="Times New Roman" w:eastAsia="宋体" w:cs="Times New Roman"/>
      <w:sz w:val="18"/>
      <w:szCs w:val="18"/>
    </w:rPr>
  </w:style>
  <w:style w:type="character" w:customStyle="1" w:styleId="67">
    <w:name w:val="正文文本缩进 3 Char"/>
    <w:basedOn w:val="38"/>
    <w:link w:val="28"/>
    <w:qFormat/>
    <w:uiPriority w:val="0"/>
    <w:rPr>
      <w:rFonts w:ascii="Arial" w:hAnsi="Arial" w:eastAsia="仿宋_GB2312" w:cs="Arial"/>
      <w:color w:val="FFFF00"/>
      <w:sz w:val="32"/>
      <w:szCs w:val="32"/>
    </w:rPr>
  </w:style>
  <w:style w:type="character" w:customStyle="1" w:styleId="68">
    <w:name w:val="页眉 Char"/>
    <w:basedOn w:val="38"/>
    <w:link w:val="23"/>
    <w:qFormat/>
    <w:uiPriority w:val="0"/>
    <w:rPr>
      <w:rFonts w:ascii="Times New Roman" w:hAnsi="Times New Roman" w:eastAsia="宋体" w:cs="Times New Roman"/>
      <w:sz w:val="18"/>
      <w:szCs w:val="18"/>
    </w:rPr>
  </w:style>
  <w:style w:type="character" w:customStyle="1" w:styleId="69">
    <w:name w:val="日期 Char"/>
    <w:basedOn w:val="38"/>
    <w:link w:val="19"/>
    <w:qFormat/>
    <w:uiPriority w:val="0"/>
    <w:rPr>
      <w:rFonts w:ascii="Times New Roman" w:hAnsi="Times New Roman" w:eastAsia="宋体" w:cs="Times New Roman"/>
      <w:sz w:val="24"/>
      <w:szCs w:val="24"/>
    </w:rPr>
  </w:style>
  <w:style w:type="paragraph" w:customStyle="1" w:styleId="7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7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2">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73">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7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75">
    <w:name w:val="Char"/>
    <w:basedOn w:val="9"/>
    <w:qFormat/>
    <w:uiPriority w:val="0"/>
    <w:rPr>
      <w:rFonts w:ascii="Tahoma" w:hAnsi="Tahoma"/>
      <w:sz w:val="24"/>
      <w:szCs w:val="24"/>
    </w:rPr>
  </w:style>
  <w:style w:type="paragraph" w:customStyle="1" w:styleId="76">
    <w:name w:val="Char Char Char Char"/>
    <w:basedOn w:val="9"/>
    <w:qFormat/>
    <w:uiPriority w:val="0"/>
    <w:pPr>
      <w:adjustRightInd w:val="0"/>
      <w:snapToGrid w:val="0"/>
      <w:spacing w:line="360" w:lineRule="auto"/>
    </w:pPr>
    <w:rPr>
      <w:rFonts w:ascii="Tahoma" w:hAnsi="Tahoma"/>
      <w:sz w:val="24"/>
      <w:szCs w:val="24"/>
    </w:rPr>
  </w:style>
  <w:style w:type="paragraph" w:styleId="77">
    <w:name w:val="List Paragraph"/>
    <w:basedOn w:val="1"/>
    <w:qFormat/>
    <w:uiPriority w:val="0"/>
    <w:pPr>
      <w:widowControl/>
      <w:ind w:left="720"/>
      <w:contextualSpacing/>
      <w:jc w:val="left"/>
    </w:pPr>
    <w:rPr>
      <w:kern w:val="0"/>
      <w:sz w:val="24"/>
      <w:szCs w:val="24"/>
      <w:lang w:eastAsia="en-US" w:bidi="en-US"/>
    </w:rPr>
  </w:style>
  <w:style w:type="paragraph" w:customStyle="1" w:styleId="78">
    <w:name w:val="Char1"/>
    <w:basedOn w:val="1"/>
    <w:qFormat/>
    <w:uiPriority w:val="0"/>
    <w:pPr>
      <w:tabs>
        <w:tab w:val="left" w:pos="360"/>
      </w:tabs>
      <w:ind w:firstLine="200" w:firstLineChars="200"/>
    </w:pPr>
    <w:rPr>
      <w:rFonts w:ascii="Times New Roman" w:hAnsi="Times New Roman"/>
      <w:sz w:val="28"/>
      <w:szCs w:val="30"/>
    </w:rPr>
  </w:style>
  <w:style w:type="character" w:customStyle="1" w:styleId="79">
    <w:name w:val="HTML 预设格式 Char"/>
    <w:basedOn w:val="38"/>
    <w:link w:val="32"/>
    <w:qFormat/>
    <w:uiPriority w:val="0"/>
    <w:rPr>
      <w:rFonts w:ascii="黑体" w:hAnsi="Courier New" w:eastAsia="黑体" w:cs="Courier New"/>
      <w:kern w:val="0"/>
      <w:sz w:val="20"/>
      <w:szCs w:val="20"/>
    </w:rPr>
  </w:style>
  <w:style w:type="paragraph" w:customStyle="1" w:styleId="80">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81">
    <w:name w:val="默认段落字体 Para Char Char Char Char Char Char Char Char Char1 Char Char Char Char Char Char Char"/>
    <w:basedOn w:val="9"/>
    <w:qFormat/>
    <w:uiPriority w:val="0"/>
    <w:rPr>
      <w:rFonts w:ascii="Tahoma" w:hAnsi="Tahoma"/>
      <w:sz w:val="24"/>
      <w:szCs w:val="24"/>
    </w:rPr>
  </w:style>
  <w:style w:type="paragraph" w:customStyle="1" w:styleId="82">
    <w:name w:val="标题2"/>
    <w:basedOn w:val="1"/>
    <w:next w:val="1"/>
    <w:qFormat/>
    <w:uiPriority w:val="0"/>
    <w:pPr>
      <w:jc w:val="center"/>
    </w:pPr>
    <w:rPr>
      <w:rFonts w:ascii="Times New Roman" w:hAnsi="Times New Roman" w:eastAsia="方正楷体_GBK"/>
      <w:szCs w:val="24"/>
    </w:rPr>
  </w:style>
  <w:style w:type="character" w:customStyle="1" w:styleId="83">
    <w:name w:val="jj1"/>
    <w:qFormat/>
    <w:uiPriority w:val="0"/>
    <w:rPr>
      <w:sz w:val="20"/>
      <w:szCs w:val="20"/>
      <w:u w:val="none"/>
    </w:rPr>
  </w:style>
  <w:style w:type="character" w:customStyle="1" w:styleId="84">
    <w:name w:val="标题2 Char"/>
    <w:qFormat/>
    <w:uiPriority w:val="0"/>
    <w:rPr>
      <w:rFonts w:ascii="方正楷体_GBK" w:hAnsi="Book Antiqua" w:eastAsia="方正楷体_GBK"/>
      <w:snapToGrid w:val="0"/>
      <w:sz w:val="32"/>
      <w:lang w:val="en-US" w:eastAsia="zh-CN" w:bidi="ar-SA"/>
    </w:rPr>
  </w:style>
  <w:style w:type="paragraph" w:customStyle="1" w:styleId="8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7">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88">
    <w:name w:val="BioQuote Tekst"/>
    <w:basedOn w:val="1"/>
    <w:qFormat/>
    <w:uiPriority w:val="0"/>
    <w:pPr>
      <w:ind w:right="-1"/>
    </w:pPr>
    <w:rPr>
      <w:rFonts w:ascii="Arial" w:hAnsi="Arial"/>
      <w:snapToGrid w:val="0"/>
      <w:kern w:val="0"/>
      <w:sz w:val="22"/>
      <w:szCs w:val="20"/>
      <w:lang w:eastAsia="en-US"/>
    </w:rPr>
  </w:style>
  <w:style w:type="paragraph" w:customStyle="1" w:styleId="89">
    <w:name w:val="Coms Alinea"/>
    <w:qFormat/>
    <w:uiPriority w:val="0"/>
    <w:pPr>
      <w:widowControl w:val="0"/>
    </w:pPr>
    <w:rPr>
      <w:rFonts w:ascii="Arial" w:hAnsi="Arial" w:eastAsia="宋体" w:cs="Arial"/>
      <w:lang w:val="en-US" w:eastAsia="zh-CN" w:bidi="ar-SA"/>
    </w:rPr>
  </w:style>
  <w:style w:type="paragraph" w:customStyle="1" w:styleId="90">
    <w:name w:val="Char Char Char Char1 Char Char Char"/>
    <w:basedOn w:val="9"/>
    <w:qFormat/>
    <w:uiPriority w:val="0"/>
    <w:pPr>
      <w:adjustRightInd w:val="0"/>
      <w:snapToGrid w:val="0"/>
      <w:spacing w:line="360" w:lineRule="auto"/>
    </w:pPr>
    <w:rPr>
      <w:rFonts w:ascii="Tahoma" w:hAnsi="Tahoma"/>
      <w:sz w:val="24"/>
      <w:szCs w:val="24"/>
    </w:rPr>
  </w:style>
  <w:style w:type="paragraph" w:customStyle="1" w:styleId="91">
    <w:name w:val="Char Char Char Char1 Char Char"/>
    <w:basedOn w:val="1"/>
    <w:qFormat/>
    <w:uiPriority w:val="0"/>
    <w:pPr>
      <w:tabs>
        <w:tab w:val="left" w:pos="360"/>
      </w:tabs>
    </w:pPr>
    <w:rPr>
      <w:rFonts w:ascii="Times New Roman" w:hAnsi="Times New Roman"/>
      <w:sz w:val="24"/>
      <w:szCs w:val="24"/>
    </w:rPr>
  </w:style>
  <w:style w:type="paragraph" w:customStyle="1" w:styleId="92">
    <w:name w:val="正文 第一章"/>
    <w:basedOn w:val="1"/>
    <w:next w:val="93"/>
    <w:qFormat/>
    <w:uiPriority w:val="0"/>
    <w:pPr>
      <w:pageBreakBefore/>
      <w:numPr>
        <w:ilvl w:val="0"/>
        <w:numId w:val="2"/>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93">
    <w:name w:val="正文 1.1"/>
    <w:basedOn w:val="1"/>
    <w:next w:val="94"/>
    <w:qFormat/>
    <w:uiPriority w:val="0"/>
    <w:pPr>
      <w:numPr>
        <w:ilvl w:val="1"/>
        <w:numId w:val="2"/>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94">
    <w:name w:val="正文 1.1.1"/>
    <w:basedOn w:val="1"/>
    <w:next w:val="1"/>
    <w:qFormat/>
    <w:uiPriority w:val="0"/>
    <w:pPr>
      <w:numPr>
        <w:ilvl w:val="2"/>
        <w:numId w:val="2"/>
      </w:numPr>
      <w:adjustRightInd w:val="0"/>
      <w:spacing w:line="360" w:lineRule="auto"/>
      <w:textAlignment w:val="baseline"/>
      <w:outlineLvl w:val="2"/>
    </w:pPr>
    <w:rPr>
      <w:rFonts w:ascii="宋体" w:hAnsi="宋体"/>
      <w:color w:val="000000"/>
      <w:kern w:val="0"/>
      <w:sz w:val="28"/>
      <w:szCs w:val="21"/>
    </w:rPr>
  </w:style>
  <w:style w:type="paragraph" w:customStyle="1" w:styleId="95">
    <w:name w:val="第四级"/>
    <w:basedOn w:val="1"/>
    <w:next w:val="1"/>
    <w:qFormat/>
    <w:uiPriority w:val="0"/>
    <w:pPr>
      <w:numPr>
        <w:ilvl w:val="3"/>
        <w:numId w:val="2"/>
      </w:numPr>
      <w:adjustRightInd w:val="0"/>
      <w:spacing w:line="360" w:lineRule="auto"/>
      <w:textAlignment w:val="baseline"/>
    </w:pPr>
    <w:rPr>
      <w:rFonts w:ascii="宋体" w:hAnsi="宋体" w:eastAsia="仿宋"/>
      <w:kern w:val="0"/>
      <w:sz w:val="28"/>
      <w:szCs w:val="21"/>
    </w:rPr>
  </w:style>
  <w:style w:type="paragraph" w:customStyle="1" w:styleId="96">
    <w:name w:val="列出段落2"/>
    <w:basedOn w:val="1"/>
    <w:qFormat/>
    <w:uiPriority w:val="0"/>
    <w:pPr>
      <w:ind w:firstLine="420" w:firstLineChars="200"/>
    </w:pPr>
    <w:rPr>
      <w:rFonts w:cs="Calibri"/>
      <w:szCs w:val="21"/>
    </w:rPr>
  </w:style>
  <w:style w:type="paragraph" w:customStyle="1" w:styleId="9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8">
    <w:name w:val="font11"/>
    <w:basedOn w:val="38"/>
    <w:qFormat/>
    <w:uiPriority w:val="0"/>
    <w:rPr>
      <w:rFonts w:hint="default" w:ascii="Times New Roman" w:hAnsi="Times New Roman" w:cs="Times New Roman"/>
      <w:color w:val="000000"/>
      <w:sz w:val="20"/>
      <w:szCs w:val="20"/>
      <w:u w:val="none"/>
    </w:rPr>
  </w:style>
  <w:style w:type="character" w:customStyle="1" w:styleId="99">
    <w:name w:val="font61"/>
    <w:basedOn w:val="38"/>
    <w:qFormat/>
    <w:uiPriority w:val="0"/>
    <w:rPr>
      <w:rFonts w:hint="eastAsia" w:ascii="宋体" w:hAnsi="宋体" w:eastAsia="宋体" w:cs="宋体"/>
      <w:b/>
      <w:color w:val="333333"/>
      <w:sz w:val="28"/>
      <w:szCs w:val="28"/>
      <w:u w:val="none"/>
    </w:rPr>
  </w:style>
  <w:style w:type="character" w:customStyle="1" w:styleId="100">
    <w:name w:val="font161"/>
    <w:basedOn w:val="38"/>
    <w:qFormat/>
    <w:uiPriority w:val="0"/>
    <w:rPr>
      <w:rFonts w:hint="eastAsia" w:ascii="宋体" w:hAnsi="宋体" w:eastAsia="宋体" w:cs="宋体"/>
      <w:color w:val="000000"/>
      <w:sz w:val="21"/>
      <w:szCs w:val="21"/>
      <w:u w:val="none"/>
    </w:rPr>
  </w:style>
  <w:style w:type="character" w:customStyle="1" w:styleId="101">
    <w:name w:val="font31"/>
    <w:basedOn w:val="38"/>
    <w:qFormat/>
    <w:uiPriority w:val="0"/>
    <w:rPr>
      <w:rFonts w:hint="eastAsia" w:ascii="宋体" w:hAnsi="宋体" w:eastAsia="宋体" w:cs="宋体"/>
      <w:b/>
      <w:color w:val="333333"/>
      <w:sz w:val="21"/>
      <w:szCs w:val="21"/>
      <w:u w:val="none"/>
    </w:rPr>
  </w:style>
  <w:style w:type="character" w:customStyle="1" w:styleId="102">
    <w:name w:val="font191"/>
    <w:basedOn w:val="38"/>
    <w:qFormat/>
    <w:uiPriority w:val="0"/>
    <w:rPr>
      <w:rFonts w:hint="default" w:ascii="仿宋_GB2312" w:eastAsia="仿宋_GB2312" w:cs="仿宋_GB2312"/>
      <w:color w:val="333333"/>
      <w:sz w:val="24"/>
      <w:szCs w:val="24"/>
      <w:u w:val="none"/>
    </w:rPr>
  </w:style>
  <w:style w:type="character" w:customStyle="1" w:styleId="103">
    <w:name w:val="font121"/>
    <w:basedOn w:val="38"/>
    <w:qFormat/>
    <w:uiPriority w:val="0"/>
    <w:rPr>
      <w:rFonts w:hint="default" w:ascii="仿宋_GB2312" w:eastAsia="仿宋_GB2312" w:cs="仿宋_GB2312"/>
      <w:color w:val="000000"/>
      <w:sz w:val="24"/>
      <w:szCs w:val="24"/>
      <w:u w:val="none"/>
    </w:rPr>
  </w:style>
  <w:style w:type="character" w:customStyle="1" w:styleId="104">
    <w:name w:val="font41"/>
    <w:basedOn w:val="38"/>
    <w:qFormat/>
    <w:uiPriority w:val="0"/>
    <w:rPr>
      <w:rFonts w:hint="eastAsia" w:ascii="宋体" w:hAnsi="宋体" w:eastAsia="宋体" w:cs="宋体"/>
      <w:color w:val="333333"/>
      <w:sz w:val="24"/>
      <w:szCs w:val="24"/>
      <w:u w:val="none"/>
    </w:rPr>
  </w:style>
  <w:style w:type="character" w:customStyle="1" w:styleId="105">
    <w:name w:val="font01"/>
    <w:basedOn w:val="38"/>
    <w:qFormat/>
    <w:uiPriority w:val="0"/>
    <w:rPr>
      <w:rFonts w:hint="eastAsia" w:ascii="宋体" w:hAnsi="宋体" w:eastAsia="宋体" w:cs="宋体"/>
      <w:b/>
      <w:color w:val="FF0000"/>
      <w:sz w:val="28"/>
      <w:szCs w:val="28"/>
      <w:u w:val="none"/>
    </w:rPr>
  </w:style>
  <w:style w:type="character" w:customStyle="1" w:styleId="106">
    <w:name w:val="font112"/>
    <w:basedOn w:val="38"/>
    <w:qFormat/>
    <w:uiPriority w:val="0"/>
    <w:rPr>
      <w:rFonts w:hint="eastAsia" w:ascii="宋体" w:hAnsi="宋体" w:eastAsia="宋体" w:cs="宋体"/>
      <w:b/>
      <w:color w:val="000000"/>
      <w:sz w:val="28"/>
      <w:szCs w:val="28"/>
      <w:u w:val="none"/>
    </w:rPr>
  </w:style>
  <w:style w:type="character" w:customStyle="1" w:styleId="107">
    <w:name w:val="font81"/>
    <w:basedOn w:val="38"/>
    <w:qFormat/>
    <w:uiPriority w:val="0"/>
    <w:rPr>
      <w:rFonts w:hint="eastAsia" w:ascii="宋体" w:hAnsi="宋体" w:eastAsia="宋体" w:cs="宋体"/>
      <w:b/>
      <w:color w:val="000000"/>
      <w:sz w:val="24"/>
      <w:szCs w:val="24"/>
      <w:u w:val="none"/>
    </w:rPr>
  </w:style>
  <w:style w:type="character" w:customStyle="1" w:styleId="108">
    <w:name w:val="font151"/>
    <w:basedOn w:val="38"/>
    <w:qFormat/>
    <w:uiPriority w:val="0"/>
    <w:rPr>
      <w:rFonts w:hint="eastAsia" w:ascii="宋体" w:hAnsi="宋体" w:eastAsia="宋体" w:cs="宋体"/>
      <w:b/>
      <w:color w:val="333333"/>
      <w:sz w:val="24"/>
      <w:szCs w:val="24"/>
      <w:u w:val="none"/>
    </w:rPr>
  </w:style>
  <w:style w:type="character" w:customStyle="1" w:styleId="109">
    <w:name w:val="font21"/>
    <w:basedOn w:val="38"/>
    <w:qFormat/>
    <w:uiPriority w:val="0"/>
    <w:rPr>
      <w:rFonts w:hint="eastAsia" w:ascii="宋体" w:hAnsi="宋体" w:eastAsia="宋体" w:cs="宋体"/>
      <w:color w:val="000000"/>
      <w:sz w:val="21"/>
      <w:szCs w:val="21"/>
      <w:u w:val="none"/>
    </w:rPr>
  </w:style>
  <w:style w:type="character" w:customStyle="1" w:styleId="110">
    <w:name w:val="font101"/>
    <w:basedOn w:val="38"/>
    <w:qFormat/>
    <w:uiPriority w:val="0"/>
    <w:rPr>
      <w:rFonts w:hint="default" w:ascii="仿宋_GB2312" w:eastAsia="仿宋_GB2312" w:cs="仿宋_GB2312"/>
      <w:color w:val="333333"/>
      <w:sz w:val="24"/>
      <w:szCs w:val="24"/>
      <w:u w:val="none"/>
    </w:rPr>
  </w:style>
  <w:style w:type="character" w:customStyle="1" w:styleId="111">
    <w:name w:val="font91"/>
    <w:basedOn w:val="38"/>
    <w:qFormat/>
    <w:uiPriority w:val="0"/>
    <w:rPr>
      <w:rFonts w:hint="eastAsia" w:ascii="宋体" w:hAnsi="宋体" w:eastAsia="宋体" w:cs="宋体"/>
      <w:color w:val="000000"/>
      <w:sz w:val="21"/>
      <w:szCs w:val="21"/>
      <w:u w:val="none"/>
    </w:rPr>
  </w:style>
  <w:style w:type="character" w:customStyle="1" w:styleId="112">
    <w:name w:val="font51"/>
    <w:basedOn w:val="38"/>
    <w:qFormat/>
    <w:uiPriority w:val="0"/>
    <w:rPr>
      <w:rFonts w:hint="eastAsia" w:ascii="宋体" w:hAnsi="宋体" w:eastAsia="宋体" w:cs="宋体"/>
      <w:b/>
      <w:color w:val="333333"/>
      <w:sz w:val="21"/>
      <w:szCs w:val="21"/>
      <w:u w:val="none"/>
    </w:rPr>
  </w:style>
  <w:style w:type="character" w:customStyle="1" w:styleId="113">
    <w:name w:val="font71"/>
    <w:basedOn w:val="38"/>
    <w:qFormat/>
    <w:uiPriority w:val="0"/>
    <w:rPr>
      <w:rFonts w:hint="eastAsia" w:ascii="宋体" w:hAnsi="宋体" w:eastAsia="宋体" w:cs="宋体"/>
      <w:b/>
      <w:color w:val="000000"/>
      <w:sz w:val="24"/>
      <w:szCs w:val="24"/>
      <w:u w:val="none"/>
    </w:rPr>
  </w:style>
  <w:style w:type="character" w:customStyle="1" w:styleId="114">
    <w:name w:val="font12"/>
    <w:basedOn w:val="38"/>
    <w:qFormat/>
    <w:uiPriority w:val="0"/>
    <w:rPr>
      <w:rFonts w:hint="default" w:ascii="仿宋_GB2312" w:eastAsia="仿宋_GB2312" w:cs="仿宋_GB2312"/>
      <w:color w:val="333333"/>
      <w:sz w:val="24"/>
      <w:szCs w:val="24"/>
      <w:u w:val="none"/>
    </w:rPr>
  </w:style>
  <w:style w:type="character" w:customStyle="1" w:styleId="115">
    <w:name w:val="font131"/>
    <w:basedOn w:val="38"/>
    <w:qFormat/>
    <w:uiPriority w:val="0"/>
    <w:rPr>
      <w:rFonts w:hint="eastAsia" w:ascii="宋体" w:hAnsi="宋体" w:eastAsia="宋体" w:cs="宋体"/>
      <w:b/>
      <w:color w:val="333333"/>
      <w:sz w:val="20"/>
      <w:szCs w:val="20"/>
      <w:u w:val="none"/>
    </w:rPr>
  </w:style>
  <w:style w:type="paragraph" w:customStyle="1" w:styleId="116">
    <w:name w:val="样式1"/>
    <w:basedOn w:val="1"/>
    <w:qFormat/>
    <w:uiPriority w:val="0"/>
  </w:style>
  <w:style w:type="paragraph" w:customStyle="1" w:styleId="117">
    <w:name w:val="样式2"/>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C4540-4B97-4685-A1BE-BF2299410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4204</Words>
  <Characters>23969</Characters>
  <Lines>199</Lines>
  <Paragraphs>56</Paragraphs>
  <TotalTime>1</TotalTime>
  <ScaleCrop>false</ScaleCrop>
  <LinksUpToDate>false</LinksUpToDate>
  <CharactersWithSpaces>28117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2019-09-30T11:03:00Z</dcterms:created>
  <dc:creator>wangyuejun</dc:creator>
  <cp:lastModifiedBy>一帆~亦凡</cp:lastModifiedBy>
  <dcterms:modified xsi:type="dcterms:W3CDTF">2019-10-08T09:29:46Z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